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EB1570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EB1570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EB1570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EB1570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EB1570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EB1570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EB1570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EB1570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EB1570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EB1570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EB1570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EB1570" w:rsidRPr="00EB1570" w14:paraId="75AD415C" w14:textId="77777777" w:rsidTr="003C3DB3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EB1570" w:rsidRPr="00EB1570" w:rsidRDefault="00EB1570" w:rsidP="00EB1570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EB1570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EB1570" w:rsidRPr="00EB1570" w:rsidRDefault="00EB1570" w:rsidP="00EB1570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54154FD6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b/>
                <w:bCs/>
                <w:szCs w:val="20"/>
              </w:rPr>
            </w:pPr>
          </w:p>
          <w:p w14:paraId="4B401D34" w14:textId="50A49AFC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/>
                <w:bCs/>
                <w:szCs w:val="20"/>
              </w:rPr>
              <w:t>Subordinación de Archivo Municipal.</w:t>
            </w:r>
          </w:p>
        </w:tc>
      </w:tr>
      <w:tr w:rsidR="00EB1570" w:rsidRPr="00EB1570" w14:paraId="43844D61" w14:textId="77777777" w:rsidTr="003C3DB3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EB1570" w:rsidRPr="00EB1570" w:rsidRDefault="00EB1570" w:rsidP="00EB1570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D20361C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3725E30D" w14:textId="17C8B2C8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Coordinación de Transparencia y Acceso a la Información Pública.</w:t>
            </w:r>
          </w:p>
        </w:tc>
      </w:tr>
      <w:tr w:rsidR="00EB1570" w:rsidRPr="00EB1570" w14:paraId="1C4817FA" w14:textId="77777777" w:rsidTr="003C3DB3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EB1570" w:rsidRPr="00EB1570" w:rsidRDefault="00EB1570" w:rsidP="00EB1570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7551A56F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2507189D" w14:textId="58448D62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Coordinación.</w:t>
            </w:r>
          </w:p>
        </w:tc>
      </w:tr>
      <w:tr w:rsidR="00EB1570" w:rsidRPr="00EB1570" w14:paraId="1010F58C" w14:textId="77777777" w:rsidTr="003C3DB3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EB1570" w:rsidRPr="00EB1570" w:rsidRDefault="00EB1570" w:rsidP="00EB1570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6C501B5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08A07E11" w14:textId="6EDF4E80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Personal del Archivo Municipal.</w:t>
            </w:r>
          </w:p>
        </w:tc>
      </w:tr>
      <w:tr w:rsidR="00570CE1" w:rsidRPr="00EB1570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EB1570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EB1570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EB1570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EB1570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40B0620" w14:textId="77777777" w:rsidR="00EB1570" w:rsidRPr="00EB1570" w:rsidRDefault="00EB1570" w:rsidP="00EB1570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Coordinación de Transparencia y Acceso a la Información Pública del Municipio de Centro, relacionados con el Reglamento de Archivos y Administración de Documentos del Municipio de Centro, Tabasco.</w:t>
            </w:r>
          </w:p>
          <w:p w14:paraId="24C70552" w14:textId="44CFD99D" w:rsidR="005E4467" w:rsidRPr="00EB1570" w:rsidRDefault="00EB1570" w:rsidP="00EB1570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 23, 24, 25, 26, 47, 48,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49, 50, 51, 52, 76, 77, 78, de la Ley de Transparencia y Acceso a la Información Pública del Estado de Tabasco; los artículos 21, 22, 23 y 24 del Reglamento de Transparencia y Acceso a la Información Pública de Centro, Tabasco; 1, 2, 3, 4, 6, 7, 8, 9, 10, 11, 12, 13,  14,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15, 16, 20, 21, 22; 23, 27, título tercero, capítulo I, II; título cuarto, capítulo I, II,III,IV,VI de la Ley General de Archivos.</w:t>
            </w:r>
          </w:p>
        </w:tc>
      </w:tr>
      <w:tr w:rsidR="00570CE1" w:rsidRPr="00EB1570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EB1570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EB1570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EB1570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EB1570" w:rsidRPr="00EB1570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4402D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59BEC83A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Instituto de Transparencia y Acceso a la Información Pública de Tabasco.</w:t>
            </w:r>
          </w:p>
          <w:p w14:paraId="6BF3BA6F" w14:textId="4D494D38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3B0CB3EE" w:rsidR="00EB1570" w:rsidRPr="00EB1570" w:rsidRDefault="00EB1570" w:rsidP="00EB1570">
            <w:pPr>
              <w:pStyle w:val="TableParagraph"/>
              <w:spacing w:line="225" w:lineRule="exact"/>
              <w:ind w:left="25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</w:t>
            </w:r>
            <w:r w:rsidRPr="00EB1570">
              <w:rPr>
                <w:rFonts w:ascii="AkzidenzGrotesk" w:hAnsi="AkzidenzGrotesk"/>
                <w:spacing w:val="49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de Centro, 4, 5, 6, 7, 8, 12, 13, 14, 19, 20, 21, 23, 24, 25, 26, 47, 48,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49, 50, 51, 52, 76, 77, 78, de la Ley de Transparencia y Acceso a la Información Pública del Estado de Tabasco; los artículos 21, 22, 23 y 24 del Reglamento de Transparencia y Acceso a la Información Pública de Centro, Tabasco; 1, 2, 3, 4, 6, 7, 8, 9, 10, 11, 12, 13, </w:t>
            </w:r>
            <w:r w:rsidRPr="00EB1570">
              <w:rPr>
                <w:rFonts w:ascii="AkzidenzGrotesk" w:hAnsi="AkzidenzGrotesk"/>
                <w:spacing w:val="47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14,15, 16, 20, 21, 22; 23, 27, título tercero, capítulo I, II; título cuarto, capítulo I, II,III,IV,VI de la Ley General de Archivos.</w:t>
            </w:r>
          </w:p>
        </w:tc>
      </w:tr>
      <w:tr w:rsidR="00EB1570" w:rsidRPr="00EB1570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1436A9" w14:textId="77777777" w:rsidR="00EB1570" w:rsidRPr="00EB1570" w:rsidRDefault="00EB1570" w:rsidP="00EB1570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Instituto Nacional de Transparencia, Acceso a la Información y Protección de Datos Personales.</w:t>
            </w:r>
          </w:p>
          <w:p w14:paraId="4C043186" w14:textId="76A4C528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EB1570" w:rsidRPr="00EB1570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EB1570" w:rsidRPr="00EB1570" w:rsidRDefault="00EB1570" w:rsidP="00EB1570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EB1570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EB1570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EB1570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EB1570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EB1570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EB1570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EB1570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EB1570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2F725F0D" w:rsidR="00570CE1" w:rsidRPr="00EB1570" w:rsidRDefault="00EB1570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EB1570">
              <w:rPr>
                <w:rFonts w:ascii="AkzidenzGrotesk" w:hAnsi="AkzidenzGrotesk" w:cs="Arial"/>
                <w:szCs w:val="20"/>
              </w:rPr>
              <w:t>Planear, programar, organizar, dirigir, controlar y evaluar el desempeño de las funciones correspondientes al Archivo Municipal.</w:t>
            </w:r>
          </w:p>
        </w:tc>
      </w:tr>
    </w:tbl>
    <w:p w14:paraId="31C18592" w14:textId="77777777" w:rsidR="00570CE1" w:rsidRPr="00EB1570" w:rsidRDefault="00570CE1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EB1570" w:rsidRDefault="005E4467" w:rsidP="00570CE1">
      <w:pPr>
        <w:rPr>
          <w:rFonts w:ascii="AkzidenzGrotesk" w:hAnsi="AkzidenzGrotesk" w:cs="Arial"/>
          <w:szCs w:val="20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EB1570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EB1570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EB1570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EB1570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EB1570" w14:paraId="67666D4E" w14:textId="77777777" w:rsidTr="00EB1570">
        <w:trPr>
          <w:trHeight w:val="98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257D508" w14:textId="77777777" w:rsidR="00EB1570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before="55" w:line="309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Planear, programar, organizar, implementar, dirigir, controlar y evaluar el Sistema Municipal de Archivo y los procesos adecuados de las Dependencias del H. Ayuntamiento de Centro, en términos de la Ley y disposiciones</w:t>
            </w:r>
            <w:r w:rsidRPr="00EB1570">
              <w:rPr>
                <w:rFonts w:ascii="AkzidenzGrotesk" w:hAnsi="AkzidenzGrotesk"/>
                <w:spacing w:val="-26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normativas.</w:t>
            </w:r>
          </w:p>
          <w:p w14:paraId="4E944D73" w14:textId="77777777" w:rsidR="00EB1570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line="312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En su caso, atendiendo las políticas, lineamientos y normas diseñadas por el Sistema Estatal de Archivos, deberá proponer el proyecto de expedición de manuales y lineamientos para la operación del Archivo Municipal, a fin de garantizar el funcionamiento homogéneo en la recepción, clasificación, catalogación, custodia, depuración y difusión de la documentación que constituya el acervo del</w:t>
            </w:r>
            <w:r w:rsidRPr="00EB1570">
              <w:rPr>
                <w:rFonts w:ascii="AkzidenzGrotesk" w:hAnsi="AkzidenzGrotesk"/>
                <w:spacing w:val="-29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Archivo;</w:t>
            </w:r>
          </w:p>
          <w:p w14:paraId="2A6C21CD" w14:textId="77777777" w:rsidR="00EB1570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line="307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Elaborar de manera coordinada con las Dependencias del Ayuntamiento la elaboración del Cuadro General de Clasificación Archivística y Catalogo de Disposición</w:t>
            </w:r>
            <w:r w:rsidRPr="00EB1570">
              <w:rPr>
                <w:rFonts w:ascii="AkzidenzGrotesk" w:hAnsi="AkzidenzGrotesk"/>
                <w:spacing w:val="-37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Documental;</w:t>
            </w:r>
          </w:p>
          <w:p w14:paraId="115973F7" w14:textId="77777777" w:rsidR="00EB1570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line="312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Proponer al Órgano Colegiado del Ayuntamiento los plazos en que la documentación debe permanecer en sus archivos de origen y fijar los calendarios que habrán de regir su transferencia hacia los archivos de concentración o su destrucción, así como propuesta de catálogo por tipo de</w:t>
            </w:r>
            <w:r w:rsidRPr="00EB1570">
              <w:rPr>
                <w:rFonts w:ascii="AkzidenzGrotesk" w:hAnsi="AkzidenzGrotesk"/>
                <w:spacing w:val="-18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documento</w:t>
            </w:r>
          </w:p>
          <w:p w14:paraId="2FC290F1" w14:textId="77777777" w:rsidR="00EB1570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line="309" w:lineRule="auto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Vincularse con los Enlace de archivo de trámites de las Dependencias del Ayuntamiento de Centro respecto al proceso de organización y coordinación del Sistema Institucional de Archivo.</w:t>
            </w:r>
          </w:p>
          <w:p w14:paraId="56B48BDC" w14:textId="563F2898" w:rsidR="00570CE1" w:rsidRPr="00EB1570" w:rsidRDefault="00EB1570" w:rsidP="00EB1570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Verificar el cumplimiento adecuado legal y normativo de las Dependencias del</w:t>
            </w:r>
            <w:r w:rsidRPr="00EB1570">
              <w:rPr>
                <w:rFonts w:ascii="AkzidenzGrotesk" w:hAnsi="AkzidenzGrotesk"/>
                <w:spacing w:val="-33"/>
                <w:sz w:val="20"/>
                <w:szCs w:val="20"/>
                <w:lang w:val="es-ES"/>
              </w:rPr>
              <w:t xml:space="preserve"> </w:t>
            </w:r>
            <w:r w:rsidRPr="00EB1570">
              <w:rPr>
                <w:rFonts w:ascii="AkzidenzGrotesk" w:hAnsi="AkzidenzGrotesk"/>
                <w:sz w:val="20"/>
                <w:szCs w:val="20"/>
                <w:lang w:val="es-ES"/>
              </w:rPr>
              <w:t>Ayuntamiento relacionado con el sistema Municipal de Archivo.</w:t>
            </w:r>
          </w:p>
        </w:tc>
      </w:tr>
    </w:tbl>
    <w:p w14:paraId="11975F6E" w14:textId="35AED416" w:rsidR="00AC24E0" w:rsidRPr="00EB1570" w:rsidRDefault="00AC24E0" w:rsidP="00570CE1">
      <w:pPr>
        <w:pStyle w:val="MTexto"/>
        <w:rPr>
          <w:rFonts w:ascii="AkzidenzGrotesk" w:hAnsi="AkzidenzGrotesk"/>
          <w:b/>
        </w:rPr>
      </w:pPr>
    </w:p>
    <w:p w14:paraId="0F0B0E7C" w14:textId="77777777" w:rsidR="00EB1570" w:rsidRPr="00EB1570" w:rsidRDefault="00EB1570" w:rsidP="00EB1570">
      <w:pPr>
        <w:rPr>
          <w:rFonts w:ascii="AkzidenzGrotesk" w:hAnsi="AkzidenzGrotesk"/>
        </w:rPr>
      </w:pPr>
    </w:p>
    <w:p w14:paraId="3E128553" w14:textId="4AF41A07" w:rsidR="00570CE1" w:rsidRPr="00EB1570" w:rsidRDefault="00570CE1" w:rsidP="00570CE1">
      <w:pPr>
        <w:pStyle w:val="MTexto"/>
        <w:rPr>
          <w:rFonts w:ascii="AkzidenzGrotesk" w:hAnsi="AkzidenzGrotesk"/>
          <w:b/>
        </w:rPr>
      </w:pPr>
      <w:r w:rsidRPr="00EB1570">
        <w:rPr>
          <w:rFonts w:ascii="AkzidenzGrotesk" w:hAnsi="AkzidenzGrotesk"/>
          <w:b/>
        </w:rPr>
        <w:t>Perfil del Responsable del Puesto</w:t>
      </w:r>
    </w:p>
    <w:p w14:paraId="06A4581E" w14:textId="77777777" w:rsidR="00570CE1" w:rsidRPr="00EB1570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EB1570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EB1570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EB1570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EB1570" w:rsidRPr="00EB1570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EB1570" w:rsidRPr="00EB1570" w:rsidRDefault="00EB1570" w:rsidP="00EB1570">
            <w:pPr>
              <w:jc w:val="left"/>
              <w:rPr>
                <w:rFonts w:ascii="AkzidenzGrotesk" w:hAnsi="AkzidenzGrotesk" w:cs="Arial"/>
                <w:b/>
              </w:rPr>
            </w:pPr>
            <w:r w:rsidRPr="00EB1570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DA05622" w14:textId="3B99425C" w:rsidR="00EB1570" w:rsidRPr="00EB1570" w:rsidRDefault="00EB1570" w:rsidP="00EB1570">
            <w:pPr>
              <w:pStyle w:val="Prrafodelista"/>
              <w:numPr>
                <w:ilvl w:val="0"/>
                <w:numId w:val="47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szCs w:val="20"/>
              </w:rPr>
              <w:t>Licenciatura en historia, archivonomía, bibliotecología o carrera afín.</w:t>
            </w:r>
          </w:p>
        </w:tc>
      </w:tr>
      <w:tr w:rsidR="00EB1570" w:rsidRPr="00EB1570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EB1570" w:rsidRPr="00EB1570" w:rsidRDefault="00EB1570" w:rsidP="00EB1570">
            <w:pPr>
              <w:jc w:val="left"/>
              <w:rPr>
                <w:rFonts w:ascii="AkzidenzGrotesk" w:hAnsi="AkzidenzGrotesk" w:cs="Arial"/>
                <w:b/>
              </w:rPr>
            </w:pPr>
            <w:r w:rsidRPr="00EB1570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ECABCE5" w14:textId="019399F8" w:rsidR="00EB1570" w:rsidRPr="00EB1570" w:rsidRDefault="00EB1570" w:rsidP="00EB1570">
            <w:pPr>
              <w:pStyle w:val="Prrafodelista"/>
              <w:numPr>
                <w:ilvl w:val="0"/>
                <w:numId w:val="47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szCs w:val="20"/>
              </w:rPr>
              <w:t>Mínima de 2 años.</w:t>
            </w:r>
          </w:p>
        </w:tc>
      </w:tr>
      <w:tr w:rsidR="00EB1570" w:rsidRPr="00EB1570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EB1570" w:rsidRPr="00EB1570" w:rsidRDefault="00EB1570" w:rsidP="00EB1570">
            <w:pPr>
              <w:jc w:val="left"/>
              <w:rPr>
                <w:rFonts w:ascii="AkzidenzGrotesk" w:hAnsi="AkzidenzGrotesk" w:cs="Arial"/>
                <w:b/>
              </w:rPr>
            </w:pPr>
            <w:r w:rsidRPr="00EB1570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3DB84A4B" w:rsidR="00EB1570" w:rsidRPr="00EB1570" w:rsidRDefault="00EB1570" w:rsidP="00EB1570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EB1570" w:rsidRPr="00EB1570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EB1570" w:rsidRPr="00EB1570" w:rsidRDefault="00EB1570" w:rsidP="00EB1570">
            <w:pPr>
              <w:jc w:val="left"/>
              <w:rPr>
                <w:rFonts w:ascii="AkzidenzGrotesk" w:hAnsi="AkzidenzGrotesk" w:cs="Arial"/>
                <w:b/>
              </w:rPr>
            </w:pPr>
            <w:r w:rsidRPr="00EB1570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3E11DF46" w:rsidR="00EB1570" w:rsidRPr="00EB1570" w:rsidRDefault="00EB1570" w:rsidP="00EB1570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EB1570">
              <w:rPr>
                <w:rFonts w:ascii="AkzidenzGrotesk" w:hAnsi="AkzidenzGrotesk" w:cs="Arial"/>
                <w:bCs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6EB2E200" w14:textId="77777777" w:rsidR="00570CE1" w:rsidRPr="00EB1570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EB1570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EB1570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EB1570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EB1570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EB1570" w:rsidRDefault="00570CE1" w:rsidP="00EA0DB3">
      <w:pPr>
        <w:rPr>
          <w:rFonts w:ascii="AkzidenzGrotesk" w:hAnsi="AkzidenzGrotesk"/>
        </w:rPr>
      </w:pPr>
    </w:p>
    <w:sectPr w:rsidR="00570CE1" w:rsidRPr="00EB1570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18BC" w14:textId="77777777" w:rsidR="00CC6C69" w:rsidRDefault="00CC6C69">
      <w:r>
        <w:separator/>
      </w:r>
    </w:p>
  </w:endnote>
  <w:endnote w:type="continuationSeparator" w:id="0">
    <w:p w14:paraId="537B812D" w14:textId="77777777" w:rsidR="00CC6C69" w:rsidRDefault="00CC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4790" w14:textId="77777777" w:rsidR="00CC6C69" w:rsidRDefault="00CC6C69">
      <w:r>
        <w:separator/>
      </w:r>
    </w:p>
  </w:footnote>
  <w:footnote w:type="continuationSeparator" w:id="0">
    <w:p w14:paraId="33253151" w14:textId="77777777" w:rsidR="00CC6C69" w:rsidRDefault="00CC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CC6C69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688E"/>
    <w:multiLevelType w:val="hybridMultilevel"/>
    <w:tmpl w:val="DA34A3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07368"/>
    <w:multiLevelType w:val="hybridMultilevel"/>
    <w:tmpl w:val="740EC52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2"/>
  </w:num>
  <w:num w:numId="4">
    <w:abstractNumId w:val="28"/>
  </w:num>
  <w:num w:numId="5">
    <w:abstractNumId w:val="17"/>
  </w:num>
  <w:num w:numId="6">
    <w:abstractNumId w:val="12"/>
  </w:num>
  <w:num w:numId="7">
    <w:abstractNumId w:val="19"/>
  </w:num>
  <w:num w:numId="8">
    <w:abstractNumId w:val="33"/>
  </w:num>
  <w:num w:numId="9">
    <w:abstractNumId w:val="9"/>
  </w:num>
  <w:num w:numId="10">
    <w:abstractNumId w:val="15"/>
  </w:num>
  <w:num w:numId="11">
    <w:abstractNumId w:val="21"/>
  </w:num>
  <w:num w:numId="12">
    <w:abstractNumId w:val="13"/>
  </w:num>
  <w:num w:numId="13">
    <w:abstractNumId w:val="37"/>
  </w:num>
  <w:num w:numId="14">
    <w:abstractNumId w:val="3"/>
  </w:num>
  <w:num w:numId="15">
    <w:abstractNumId w:val="16"/>
  </w:num>
  <w:num w:numId="16">
    <w:abstractNumId w:val="23"/>
  </w:num>
  <w:num w:numId="17">
    <w:abstractNumId w:val="43"/>
  </w:num>
  <w:num w:numId="18">
    <w:abstractNumId w:val="45"/>
  </w:num>
  <w:num w:numId="19">
    <w:abstractNumId w:val="24"/>
  </w:num>
  <w:num w:numId="20">
    <w:abstractNumId w:val="34"/>
  </w:num>
  <w:num w:numId="21">
    <w:abstractNumId w:val="31"/>
  </w:num>
  <w:num w:numId="22">
    <w:abstractNumId w:val="10"/>
  </w:num>
  <w:num w:numId="23">
    <w:abstractNumId w:val="6"/>
  </w:num>
  <w:num w:numId="24">
    <w:abstractNumId w:val="0"/>
  </w:num>
  <w:num w:numId="25">
    <w:abstractNumId w:val="2"/>
  </w:num>
  <w:num w:numId="26">
    <w:abstractNumId w:val="32"/>
  </w:num>
  <w:num w:numId="27">
    <w:abstractNumId w:val="27"/>
  </w:num>
  <w:num w:numId="28">
    <w:abstractNumId w:val="1"/>
  </w:num>
  <w:num w:numId="29">
    <w:abstractNumId w:val="36"/>
  </w:num>
  <w:num w:numId="30">
    <w:abstractNumId w:val="26"/>
  </w:num>
  <w:num w:numId="31">
    <w:abstractNumId w:val="44"/>
  </w:num>
  <w:num w:numId="32">
    <w:abstractNumId w:val="40"/>
  </w:num>
  <w:num w:numId="33">
    <w:abstractNumId w:val="46"/>
  </w:num>
  <w:num w:numId="34">
    <w:abstractNumId w:val="18"/>
  </w:num>
  <w:num w:numId="35">
    <w:abstractNumId w:val="7"/>
  </w:num>
  <w:num w:numId="36">
    <w:abstractNumId w:val="30"/>
  </w:num>
  <w:num w:numId="37">
    <w:abstractNumId w:val="25"/>
  </w:num>
  <w:num w:numId="38">
    <w:abstractNumId w:val="35"/>
  </w:num>
  <w:num w:numId="39">
    <w:abstractNumId w:val="11"/>
  </w:num>
  <w:num w:numId="40">
    <w:abstractNumId w:val="14"/>
  </w:num>
  <w:num w:numId="41">
    <w:abstractNumId w:val="4"/>
  </w:num>
  <w:num w:numId="42">
    <w:abstractNumId w:val="29"/>
  </w:num>
  <w:num w:numId="43">
    <w:abstractNumId w:val="3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41"/>
  </w:num>
  <w:num w:numId="4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DB3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652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C69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570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F06D-0736-44D0-8FE2-44C0C6C8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103</cp:revision>
  <cp:lastPrinted>2016-09-01T20:25:00Z</cp:lastPrinted>
  <dcterms:created xsi:type="dcterms:W3CDTF">2016-08-26T17:06:00Z</dcterms:created>
  <dcterms:modified xsi:type="dcterms:W3CDTF">2021-12-17T21:18:00Z</dcterms:modified>
</cp:coreProperties>
</file>