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0BAD" w14:textId="77777777" w:rsidR="005E4467" w:rsidRPr="003C6E46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3C6E46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 xml:space="preserve">COORDINACIÓN DE TRANSPARENCIA Y ACCESO </w:t>
      </w:r>
    </w:p>
    <w:p w14:paraId="36A55B00" w14:textId="66F2E961" w:rsidR="00EA0DB3" w:rsidRPr="003C6E46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3C6E46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>A LA INFORMACIÓN PÚBLICA</w:t>
      </w:r>
    </w:p>
    <w:p w14:paraId="6228607A" w14:textId="77777777" w:rsidR="00570CE1" w:rsidRPr="003C6E46" w:rsidRDefault="00570CE1" w:rsidP="00EA0DB3">
      <w:pPr>
        <w:rPr>
          <w:rFonts w:ascii="AkzidenzGrotesk" w:hAnsi="AkzidenzGrotesk"/>
        </w:rPr>
      </w:pPr>
    </w:p>
    <w:p w14:paraId="0397A228" w14:textId="77777777" w:rsidR="00570CE1" w:rsidRPr="003C6E46" w:rsidRDefault="00570CE1" w:rsidP="00570CE1">
      <w:pPr>
        <w:pStyle w:val="MTitulo"/>
        <w:numPr>
          <w:ilvl w:val="0"/>
          <w:numId w:val="1"/>
        </w:numPr>
        <w:rPr>
          <w:rFonts w:ascii="AkzidenzGrotesk" w:hAnsi="AkzidenzGrotesk"/>
          <w:color w:val="990000"/>
        </w:rPr>
      </w:pPr>
      <w:bookmarkStart w:id="0" w:name="_Toc460230145"/>
      <w:r w:rsidRPr="003C6E46">
        <w:rPr>
          <w:rFonts w:ascii="AkzidenzGrotesk" w:hAnsi="AkzidenzGrotesk"/>
          <w:color w:val="990000"/>
        </w:rPr>
        <w:t>PERFIL DE PUESTO</w:t>
      </w:r>
      <w:bookmarkEnd w:id="0"/>
    </w:p>
    <w:p w14:paraId="5796154C" w14:textId="77777777" w:rsidR="00570CE1" w:rsidRPr="003C6E46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3C6E46">
        <w:rPr>
          <w:rFonts w:ascii="AkzidenzGrotesk" w:hAnsi="AkzidenzGrotesk"/>
          <w:bCs/>
          <w:color w:val="262626" w:themeColor="text1" w:themeTint="D9"/>
        </w:rPr>
        <w:t>Descripción del Puesto</w:t>
      </w:r>
      <w:r w:rsidRPr="003C6E46">
        <w:rPr>
          <w:rFonts w:ascii="AkzidenzGrotesk" w:hAnsi="AkzidenzGrotesk"/>
          <w:bCs/>
          <w:color w:val="262626" w:themeColor="text1" w:themeTint="D9"/>
        </w:rPr>
        <w:tab/>
      </w:r>
    </w:p>
    <w:p w14:paraId="4D20AD30" w14:textId="77777777" w:rsidR="00570CE1" w:rsidRPr="003C6E46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950"/>
        <w:gridCol w:w="29"/>
        <w:gridCol w:w="5077"/>
      </w:tblGrid>
      <w:tr w:rsidR="003C6E46" w:rsidRPr="003C6E46" w14:paraId="75AD415C" w14:textId="77777777" w:rsidTr="003C6E46">
        <w:trPr>
          <w:trHeight w:val="724"/>
        </w:trPr>
        <w:tc>
          <w:tcPr>
            <w:tcW w:w="2197" w:type="pct"/>
            <w:gridSpan w:val="2"/>
            <w:shd w:val="clear" w:color="auto" w:fill="990000"/>
            <w:hideMark/>
          </w:tcPr>
          <w:p w14:paraId="33BBEB56" w14:textId="2AE8DDAA" w:rsidR="003C6E46" w:rsidRPr="003C6E46" w:rsidRDefault="003C6E46" w:rsidP="003C6E46">
            <w:pPr>
              <w:tabs>
                <w:tab w:val="left" w:pos="578"/>
              </w:tabs>
              <w:ind w:right="3136"/>
              <w:rPr>
                <w:rFonts w:ascii="AkzidenzGrotesk" w:hAnsi="AkzidenzGrotesk" w:cs="Arial"/>
                <w:bCs/>
                <w:color w:val="FFFFFF" w:themeColor="background1"/>
              </w:rPr>
            </w:pPr>
            <w:r w:rsidRPr="003C6E46">
              <w:rPr>
                <w:rFonts w:ascii="AkzidenzGrotesk" w:hAnsi="AkzidenzGrotesk" w:cs="Arial"/>
                <w:bCs/>
                <w:color w:val="FFFFFF" w:themeColor="background1"/>
              </w:rPr>
              <w:t>Puesto:</w:t>
            </w:r>
          </w:p>
          <w:p w14:paraId="428C90D5" w14:textId="77777777" w:rsidR="003C6E46" w:rsidRPr="003C6E46" w:rsidRDefault="003C6E46" w:rsidP="003C6E46">
            <w:pPr>
              <w:jc w:val="center"/>
              <w:rPr>
                <w:rFonts w:ascii="AkzidenzGrotesk" w:hAnsi="AkzidenzGrotesk" w:cs="Arial"/>
                <w:bCs/>
                <w:color w:val="FFFFFF" w:themeColor="background1"/>
              </w:rPr>
            </w:pP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14:paraId="5A22BA71" w14:textId="77777777" w:rsidR="003C6E46" w:rsidRPr="003C6E46" w:rsidRDefault="003C6E46" w:rsidP="003C6E46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</w:p>
          <w:p w14:paraId="4B401D34" w14:textId="01576F59" w:rsidR="003C6E46" w:rsidRPr="003C6E46" w:rsidRDefault="003C6E46" w:rsidP="003C6E46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b/>
                <w:bCs/>
                <w:szCs w:val="20"/>
              </w:rPr>
              <w:t>Departamento de Atención al Público</w:t>
            </w:r>
          </w:p>
        </w:tc>
      </w:tr>
      <w:tr w:rsidR="003C6E46" w:rsidRPr="003C6E46" w14:paraId="43844D61" w14:textId="77777777" w:rsidTr="003C6E46">
        <w:trPr>
          <w:trHeight w:val="712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2B14EBA" w14:textId="77777777" w:rsidR="003C6E46" w:rsidRPr="003C6E46" w:rsidRDefault="003C6E46" w:rsidP="003C6E46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bCs/>
                <w:color w:val="262626" w:themeColor="text1" w:themeTint="D9"/>
              </w:rPr>
              <w:t>Área de Adscripción: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EB82A0B" w14:textId="77777777" w:rsidR="003C6E46" w:rsidRPr="003C6E46" w:rsidRDefault="003C6E46" w:rsidP="003C6E46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</w:p>
          <w:p w14:paraId="3725E30D" w14:textId="3A31B4E9" w:rsidR="003C6E46" w:rsidRPr="003C6E46" w:rsidRDefault="003C6E46" w:rsidP="003C6E46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szCs w:val="20"/>
              </w:rPr>
              <w:t>Coordinación de Transparencia y Acceso a la Información Pública</w:t>
            </w:r>
          </w:p>
        </w:tc>
      </w:tr>
      <w:tr w:rsidR="003C6E46" w:rsidRPr="003C6E46" w14:paraId="1C4817FA" w14:textId="77777777" w:rsidTr="003C6E46">
        <w:trPr>
          <w:trHeight w:val="454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45994C0B" w14:textId="77777777" w:rsidR="003C6E46" w:rsidRPr="003C6E46" w:rsidRDefault="003C6E46" w:rsidP="003C6E46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bCs/>
                <w:color w:val="262626" w:themeColor="text1" w:themeTint="D9"/>
              </w:rPr>
              <w:t>Reporta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507189D" w14:textId="4139D1B2" w:rsidR="003C6E46" w:rsidRPr="003C6E46" w:rsidRDefault="003C6E46" w:rsidP="003C6E46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szCs w:val="20"/>
              </w:rPr>
              <w:t>Coordinación</w:t>
            </w:r>
          </w:p>
        </w:tc>
      </w:tr>
      <w:tr w:rsidR="003C6E46" w:rsidRPr="003C6E46" w14:paraId="1010F58C" w14:textId="77777777" w:rsidTr="003C6E46">
        <w:trPr>
          <w:trHeight w:val="831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4CC9C9A" w14:textId="77777777" w:rsidR="003C6E46" w:rsidRPr="003C6E46" w:rsidRDefault="003C6E46" w:rsidP="003C6E46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bCs/>
                <w:color w:val="262626" w:themeColor="text1" w:themeTint="D9"/>
              </w:rPr>
              <w:t>Supervisa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08A07E11" w14:textId="27F5B15C" w:rsidR="003C6E46" w:rsidRPr="003C6E46" w:rsidRDefault="003C6E46" w:rsidP="003C6E46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szCs w:val="20"/>
              </w:rPr>
              <w:t>Ninguno</w:t>
            </w:r>
          </w:p>
        </w:tc>
      </w:tr>
      <w:tr w:rsidR="00570CE1" w:rsidRPr="003C6E46" w14:paraId="61D45980" w14:textId="77777777" w:rsidTr="005961B9">
        <w:trPr>
          <w:trHeight w:val="454"/>
        </w:trPr>
        <w:tc>
          <w:tcPr>
            <w:tcW w:w="5000" w:type="pct"/>
            <w:gridSpan w:val="3"/>
            <w:shd w:val="clear" w:color="auto" w:fill="990000"/>
            <w:vAlign w:val="center"/>
            <w:hideMark/>
          </w:tcPr>
          <w:p w14:paraId="75A8A524" w14:textId="77777777" w:rsidR="00570CE1" w:rsidRPr="003C6E46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3C6E46">
              <w:rPr>
                <w:rFonts w:ascii="AkzidenzGrotesk" w:hAnsi="AkzidenzGrotesk" w:cs="Arial"/>
                <w:bCs/>
              </w:rPr>
              <w:t>Interacciones Internas</w:t>
            </w:r>
          </w:p>
        </w:tc>
      </w:tr>
      <w:tr w:rsidR="00570CE1" w:rsidRPr="003C6E46" w14:paraId="0A717783" w14:textId="77777777" w:rsidTr="0095222B">
        <w:trPr>
          <w:trHeight w:val="442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2A7A746B" w14:textId="77777777" w:rsidR="00570CE1" w:rsidRPr="003C6E46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36D0FC72" w14:textId="77777777" w:rsidR="00570CE1" w:rsidRPr="003C6E46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5E4467" w:rsidRPr="003C6E46" w14:paraId="0223D1DE" w14:textId="77777777" w:rsidTr="0095222B">
        <w:trPr>
          <w:trHeight w:val="1757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E0284C0" w14:textId="7B284492" w:rsidR="005E4467" w:rsidRPr="003C6E46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szCs w:val="20"/>
              </w:rPr>
              <w:t>Todas las Dependencias Administrativas del H. Ayuntamiento.</w:t>
            </w:r>
          </w:p>
        </w:tc>
        <w:tc>
          <w:tcPr>
            <w:tcW w:w="2819" w:type="pct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A628ECA" w14:textId="77777777" w:rsidR="003C6E46" w:rsidRPr="003C6E46" w:rsidRDefault="003C6E46" w:rsidP="003C6E46">
            <w:pPr>
              <w:pStyle w:val="TableParagraph"/>
              <w:ind w:left="0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El despacho de los asuntos de la Coordinación de Transparencia y Acceso a la Información Pública del Municipio de Centro, en materia de atención al público.</w:t>
            </w:r>
          </w:p>
          <w:p w14:paraId="24C70552" w14:textId="493883EB" w:rsidR="005E4467" w:rsidRPr="003C6E46" w:rsidRDefault="003C6E46" w:rsidP="003C6E46">
            <w:pPr>
              <w:pStyle w:val="TableParagraph"/>
              <w:ind w:left="32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El  cumplimiento  de  lo  establecido  en  los artículos 67, 68, 69 y 70, 77, 78 y 79 del Reglamento de la Administración Pública  del Municipio de Centro, 4, 5, 6, 7, 8, 12,</w:t>
            </w:r>
            <w:r w:rsidRPr="003C6E46">
              <w:rPr>
                <w:rFonts w:ascii="AkzidenzGrotesk" w:hAnsi="AkzidenzGrotesk"/>
                <w:spacing w:val="-12"/>
                <w:sz w:val="20"/>
                <w:szCs w:val="20"/>
                <w:lang w:val="es-ES"/>
              </w:rPr>
              <w:t xml:space="preserve"> </w:t>
            </w: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13,14, 19, 20, 21, 23, 24, 25, 26, 47, 48, 49,50,  51,  52,  76,  77,  78, de la Ley de Transparencia y Acceso a la Información Pública del Estado de Tabasco; los artículos 21, 22, 23 y 24 del Reglamento de Transparencia y Acceso a la Información Pública de Centro, Tabasco;</w:t>
            </w:r>
          </w:p>
        </w:tc>
      </w:tr>
      <w:tr w:rsidR="00570CE1" w:rsidRPr="003C6E46" w14:paraId="2A6083AA" w14:textId="77777777" w:rsidTr="0095222B">
        <w:trPr>
          <w:trHeight w:val="442"/>
        </w:trPr>
        <w:tc>
          <w:tcPr>
            <w:tcW w:w="2181" w:type="pct"/>
            <w:shd w:val="clear" w:color="auto" w:fill="990000"/>
            <w:vAlign w:val="center"/>
            <w:hideMark/>
          </w:tcPr>
          <w:p w14:paraId="3336D22B" w14:textId="77777777" w:rsidR="00570CE1" w:rsidRPr="003C6E46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3C6E46">
              <w:rPr>
                <w:rFonts w:ascii="AkzidenzGrotesk" w:hAnsi="AkzidenzGrotesk" w:cs="Arial"/>
                <w:bCs/>
              </w:rPr>
              <w:t>Interacciones Externas</w:t>
            </w:r>
          </w:p>
        </w:tc>
        <w:tc>
          <w:tcPr>
            <w:tcW w:w="2819" w:type="pct"/>
            <w:gridSpan w:val="2"/>
            <w:shd w:val="clear" w:color="auto" w:fill="990000"/>
            <w:vAlign w:val="center"/>
          </w:tcPr>
          <w:p w14:paraId="59298F04" w14:textId="77777777" w:rsidR="00570CE1" w:rsidRPr="003C6E46" w:rsidRDefault="00570CE1" w:rsidP="00775E78">
            <w:pPr>
              <w:rPr>
                <w:rFonts w:ascii="AkzidenzGrotesk" w:hAnsi="AkzidenzGrotesk" w:cs="Arial"/>
                <w:bCs/>
              </w:rPr>
            </w:pPr>
          </w:p>
        </w:tc>
      </w:tr>
      <w:tr w:rsidR="00570CE1" w:rsidRPr="003C6E46" w14:paraId="5AA5A28C" w14:textId="77777777" w:rsidTr="0095222B">
        <w:trPr>
          <w:trHeight w:val="454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53A7EA39" w14:textId="77777777" w:rsidR="00570CE1" w:rsidRPr="003C6E46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6BD161E6" w14:textId="77777777" w:rsidR="00570CE1" w:rsidRPr="003C6E46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3C6E46" w:rsidRPr="003C6E46" w14:paraId="4EA3AA36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F25EA8C" w14:textId="77777777" w:rsidR="003C6E46" w:rsidRPr="003C6E46" w:rsidRDefault="003C6E46" w:rsidP="003C6E46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</w:p>
          <w:p w14:paraId="7CA3E861" w14:textId="77777777" w:rsidR="003C6E46" w:rsidRPr="003C6E46" w:rsidRDefault="003C6E46" w:rsidP="003C6E46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3C6E46">
              <w:rPr>
                <w:rFonts w:ascii="AkzidenzGrotesk" w:hAnsi="AkzidenzGrotesk" w:cs="Arial"/>
                <w:szCs w:val="20"/>
              </w:rPr>
              <w:t>Instituto de Transparencia y Acceso a la Información Pública de Tabasco.</w:t>
            </w:r>
          </w:p>
          <w:p w14:paraId="6BF3BA6F" w14:textId="7AB00E6A" w:rsidR="003C6E46" w:rsidRPr="003C6E46" w:rsidRDefault="003C6E46" w:rsidP="003C6E46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 w:val="restar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0441343" w14:textId="3E2BFAD9" w:rsidR="003C6E46" w:rsidRPr="003C6E46" w:rsidRDefault="003C6E46" w:rsidP="003C6E46">
            <w:pPr>
              <w:pStyle w:val="TableParagraph"/>
              <w:spacing w:before="64" w:line="312" w:lineRule="auto"/>
              <w:ind w:left="31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El cumplimiento de lo establecido en los artículos 67, 68, 69 y 70, 77, 78 y 79 del Reglamento de la Administración Pública  del Municipio de Centro, 4, 5, 6, 7, 8, 12,</w:t>
            </w:r>
            <w:r w:rsidRPr="003C6E46">
              <w:rPr>
                <w:rFonts w:ascii="AkzidenzGrotesk" w:hAnsi="AkzidenzGrotesk"/>
                <w:spacing w:val="-12"/>
                <w:sz w:val="20"/>
                <w:szCs w:val="20"/>
                <w:lang w:val="es-ES"/>
              </w:rPr>
              <w:t xml:space="preserve"> </w:t>
            </w: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13,14, </w:t>
            </w: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lastRenderedPageBreak/>
              <w:t>19, 20, 21, 23, 24, 25, 26, 47, 48, 49,50,  51,  52,  76,  77,  78, de la Ley de Transparencia y Acceso a la Información Pública del Estado de Tabasco; los artículos 21, 22, 23 y 24 del Reglamento de Transparencia y Acceso a la Información Pública de Centro, Tabasco;</w:t>
            </w:r>
          </w:p>
        </w:tc>
      </w:tr>
      <w:tr w:rsidR="003C6E46" w:rsidRPr="003C6E46" w14:paraId="333B487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716C42E" w14:textId="77777777" w:rsidR="003C6E46" w:rsidRPr="003C6E46" w:rsidRDefault="003C6E46" w:rsidP="003C6E46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3C6E46">
              <w:rPr>
                <w:rFonts w:ascii="AkzidenzGrotesk" w:hAnsi="AkzidenzGrotesk" w:cs="Arial"/>
                <w:szCs w:val="20"/>
              </w:rPr>
              <w:lastRenderedPageBreak/>
              <w:t>Instituto Nacional de Transparencia, Acceso a la Información y Protección de Datos Personales.</w:t>
            </w:r>
          </w:p>
          <w:p w14:paraId="4C043186" w14:textId="76A4C528" w:rsidR="003C6E46" w:rsidRPr="003C6E46" w:rsidRDefault="003C6E46" w:rsidP="003C6E46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7ECD1D9" w14:textId="4A9C2A6E" w:rsidR="003C6E46" w:rsidRPr="003C6E46" w:rsidRDefault="003C6E46" w:rsidP="003C6E46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5E4467" w:rsidRPr="003C6E46" w14:paraId="488E164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A669D3F" w14:textId="06B8FD55" w:rsidR="005E4467" w:rsidRPr="003C6E46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DAB1D41" w14:textId="0DDEE571" w:rsidR="005E4467" w:rsidRPr="003C6E46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</w:tbl>
    <w:p w14:paraId="5E4D4258" w14:textId="77777777" w:rsidR="00570CE1" w:rsidRPr="003C6E46" w:rsidRDefault="00570CE1" w:rsidP="00570CE1">
      <w:pPr>
        <w:rPr>
          <w:rFonts w:ascii="AkzidenzGrotesk" w:hAnsi="AkzidenzGrotesk" w:cs="Arial"/>
          <w:sz w:val="24"/>
        </w:rPr>
      </w:pPr>
    </w:p>
    <w:p w14:paraId="54F700A9" w14:textId="77777777" w:rsidR="00570CE1" w:rsidRPr="003C6E46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3C6E46">
        <w:rPr>
          <w:rFonts w:ascii="AkzidenzGrotesk" w:hAnsi="AkzidenzGrotesk"/>
          <w:bCs/>
          <w:color w:val="262626" w:themeColor="text1" w:themeTint="D9"/>
        </w:rPr>
        <w:t>Descripción de las Funciones del Puesto</w:t>
      </w:r>
    </w:p>
    <w:p w14:paraId="73D26A63" w14:textId="77777777" w:rsidR="00570CE1" w:rsidRPr="003C6E46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3C6E46" w14:paraId="3479FDFF" w14:textId="77777777" w:rsidTr="005A497A">
        <w:trPr>
          <w:trHeight w:val="153"/>
        </w:trPr>
        <w:tc>
          <w:tcPr>
            <w:tcW w:w="5000" w:type="pct"/>
            <w:tcBorders>
              <w:bottom w:val="single" w:sz="2" w:space="0" w:color="FFFFFF" w:themeColor="background1"/>
            </w:tcBorders>
            <w:shd w:val="clear" w:color="auto" w:fill="990000"/>
            <w:vAlign w:val="center"/>
            <w:hideMark/>
          </w:tcPr>
          <w:p w14:paraId="22E1334E" w14:textId="77777777" w:rsidR="00570CE1" w:rsidRPr="003C6E46" w:rsidRDefault="00570CE1" w:rsidP="00775E78">
            <w:pPr>
              <w:jc w:val="center"/>
              <w:rPr>
                <w:rFonts w:ascii="AkzidenzGrotesk" w:hAnsi="AkzidenzGrotesk" w:cs="Arial"/>
                <w:bCs/>
                <w:szCs w:val="20"/>
              </w:rPr>
            </w:pPr>
            <w:r w:rsidRPr="003C6E46">
              <w:rPr>
                <w:rFonts w:ascii="AkzidenzGrotesk" w:hAnsi="AkzidenzGrotesk" w:cs="Arial"/>
                <w:bCs/>
                <w:szCs w:val="20"/>
              </w:rPr>
              <w:t>Descripción Genérica</w:t>
            </w:r>
          </w:p>
        </w:tc>
      </w:tr>
      <w:tr w:rsidR="00570CE1" w:rsidRPr="003C6E46" w14:paraId="13835E33" w14:textId="77777777" w:rsidTr="005A497A">
        <w:trPr>
          <w:trHeight w:val="1028"/>
        </w:trPr>
        <w:tc>
          <w:tcPr>
            <w:tcW w:w="5000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4711DE20" w14:textId="3A267C7B" w:rsidR="00570CE1" w:rsidRPr="003C6E46" w:rsidRDefault="003C6E46" w:rsidP="00775E78">
            <w:pPr>
              <w:rPr>
                <w:rFonts w:ascii="AkzidenzGrotesk" w:hAnsi="AkzidenzGrotesk" w:cs="Arial"/>
                <w:color w:val="262626" w:themeColor="text1" w:themeTint="D9"/>
                <w:szCs w:val="20"/>
              </w:rPr>
            </w:pPr>
            <w:r w:rsidRPr="003C6E46">
              <w:rPr>
                <w:rFonts w:ascii="AkzidenzGrotesk" w:hAnsi="AkzidenzGrotesk"/>
                <w:szCs w:val="20"/>
              </w:rPr>
              <w:t>Prestar todo tipo de apoyo a la ciudadanía que requiera información de manera personal, así como, gestionar la información pública de oficio y su correcta publicación en el portal de Transparencia del H. Ayuntamiento.</w:t>
            </w:r>
          </w:p>
        </w:tc>
      </w:tr>
    </w:tbl>
    <w:p w14:paraId="31C18592" w14:textId="77777777" w:rsidR="00570CE1" w:rsidRPr="003C6E46" w:rsidRDefault="00570CE1" w:rsidP="00570CE1">
      <w:pPr>
        <w:rPr>
          <w:rFonts w:ascii="AkzidenzGrotesk" w:hAnsi="AkzidenzGrotesk" w:cs="Arial"/>
          <w:szCs w:val="20"/>
        </w:rPr>
      </w:pPr>
    </w:p>
    <w:p w14:paraId="795242DF" w14:textId="63DC6B0E" w:rsidR="005E4467" w:rsidRPr="003C6E46" w:rsidRDefault="005E4467" w:rsidP="00570CE1">
      <w:pPr>
        <w:rPr>
          <w:rFonts w:ascii="AkzidenzGrotesk" w:hAnsi="AkzidenzGrotesk" w:cs="Arial"/>
          <w:szCs w:val="20"/>
        </w:rPr>
      </w:pPr>
    </w:p>
    <w:p w14:paraId="1A03F6A4" w14:textId="77777777" w:rsidR="005E4467" w:rsidRPr="003C6E46" w:rsidRDefault="005E4467" w:rsidP="00570CE1">
      <w:pPr>
        <w:rPr>
          <w:rFonts w:ascii="AkzidenzGrotesk" w:hAnsi="AkzidenzGrotesk" w:cs="Arial"/>
          <w:szCs w:val="20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3C6E46" w14:paraId="0FCDF5F2" w14:textId="77777777" w:rsidTr="005A497A">
        <w:trPr>
          <w:trHeight w:val="440"/>
        </w:trPr>
        <w:tc>
          <w:tcPr>
            <w:tcW w:w="5000" w:type="pct"/>
            <w:tcBorders>
              <w:bottom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7C0CBD7A" w14:textId="7D8584BF" w:rsidR="00570CE1" w:rsidRPr="003C6E46" w:rsidRDefault="001D2A04" w:rsidP="00775E78">
            <w:pPr>
              <w:jc w:val="center"/>
              <w:rPr>
                <w:rFonts w:ascii="AkzidenzGrotesk" w:hAnsi="AkzidenzGrotesk" w:cs="Arial"/>
                <w:b/>
                <w:szCs w:val="20"/>
              </w:rPr>
            </w:pPr>
            <w:r w:rsidRPr="003C6E46">
              <w:rPr>
                <w:rFonts w:ascii="AkzidenzGrotesk" w:hAnsi="AkzidenzGrotesk" w:cs="Arial"/>
                <w:b/>
                <w:szCs w:val="20"/>
              </w:rPr>
              <w:t>Descripción E</w:t>
            </w:r>
            <w:r w:rsidR="00570CE1" w:rsidRPr="003C6E46">
              <w:rPr>
                <w:rFonts w:ascii="AkzidenzGrotesk" w:hAnsi="AkzidenzGrotesk" w:cs="Arial"/>
                <w:b/>
                <w:szCs w:val="20"/>
              </w:rPr>
              <w:t>specífica</w:t>
            </w:r>
          </w:p>
        </w:tc>
      </w:tr>
      <w:tr w:rsidR="00570CE1" w:rsidRPr="003C6E46" w14:paraId="67666D4E" w14:textId="77777777" w:rsidTr="00A9332D">
        <w:trPr>
          <w:trHeight w:val="3513"/>
        </w:trPr>
        <w:tc>
          <w:tcPr>
            <w:tcW w:w="500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C581CC8" w14:textId="77777777" w:rsidR="003C6E46" w:rsidRPr="003C6E46" w:rsidRDefault="003C6E46" w:rsidP="003C6E46">
            <w:pPr>
              <w:pStyle w:val="TableParagraph"/>
              <w:numPr>
                <w:ilvl w:val="0"/>
                <w:numId w:val="36"/>
              </w:numPr>
              <w:spacing w:before="58" w:line="307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Planear, programar, organizar, controlar y dirigir las actividades de su Departamento, conforme a los Reglamentos y Leyes</w:t>
            </w:r>
            <w:r w:rsidRPr="003C6E46">
              <w:rPr>
                <w:rFonts w:ascii="AkzidenzGrotesk" w:hAnsi="AkzidenzGrotesk"/>
                <w:spacing w:val="-24"/>
                <w:sz w:val="20"/>
                <w:szCs w:val="20"/>
                <w:lang w:val="es-ES"/>
              </w:rPr>
              <w:t xml:space="preserve"> </w:t>
            </w: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aplicables;</w:t>
            </w:r>
          </w:p>
          <w:p w14:paraId="0B55083D" w14:textId="77777777" w:rsidR="003C6E46" w:rsidRPr="003C6E46" w:rsidRDefault="003C6E46" w:rsidP="003C6E46">
            <w:pPr>
              <w:pStyle w:val="TableParagraph"/>
              <w:numPr>
                <w:ilvl w:val="0"/>
                <w:numId w:val="36"/>
              </w:numPr>
              <w:spacing w:line="307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Auxiliar, asesorar y orientar a los peticionarios en la elaboración de las solicitudes de acceso a la información, derecho ARCOP, en los casos que así lo</w:t>
            </w:r>
            <w:r w:rsidRPr="003C6E46">
              <w:rPr>
                <w:rFonts w:ascii="AkzidenzGrotesk" w:hAnsi="AkzidenzGrotesk"/>
                <w:spacing w:val="-32"/>
                <w:sz w:val="20"/>
                <w:szCs w:val="20"/>
                <w:lang w:val="es-ES"/>
              </w:rPr>
              <w:t xml:space="preserve"> </w:t>
            </w: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requieran;</w:t>
            </w:r>
          </w:p>
          <w:p w14:paraId="5829CF12" w14:textId="77777777" w:rsidR="003C6E46" w:rsidRPr="003C6E46" w:rsidRDefault="003C6E46" w:rsidP="003C6E46">
            <w:pPr>
              <w:pStyle w:val="TableParagraph"/>
              <w:numPr>
                <w:ilvl w:val="0"/>
                <w:numId w:val="36"/>
              </w:numPr>
              <w:spacing w:line="309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Gestionar y supervisar las actividades que se realicen a través del Módulo de Atención Ciudadana, prestando apoyo y todo tipo de asistencia a los usuarios que requieran información de manera</w:t>
            </w:r>
            <w:r w:rsidRPr="003C6E46">
              <w:rPr>
                <w:rFonts w:ascii="AkzidenzGrotesk" w:hAnsi="AkzidenzGrotesk"/>
                <w:spacing w:val="-17"/>
                <w:sz w:val="20"/>
                <w:szCs w:val="20"/>
                <w:lang w:val="es-ES"/>
              </w:rPr>
              <w:t xml:space="preserve"> </w:t>
            </w: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directa;</w:t>
            </w:r>
          </w:p>
          <w:p w14:paraId="56F9C73F" w14:textId="77777777" w:rsidR="003C6E46" w:rsidRPr="003C6E46" w:rsidRDefault="003C6E46" w:rsidP="003C6E46">
            <w:pPr>
              <w:pStyle w:val="TableParagraph"/>
              <w:numPr>
                <w:ilvl w:val="0"/>
                <w:numId w:val="36"/>
              </w:numPr>
              <w:spacing w:line="307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Coordinar, organizar, administrar, custodiar y sistematizar los archivos que contengan la información pública a su</w:t>
            </w:r>
            <w:r w:rsidRPr="003C6E46">
              <w:rPr>
                <w:rFonts w:ascii="AkzidenzGrotesk" w:hAnsi="AkzidenzGrotesk"/>
                <w:spacing w:val="-15"/>
                <w:sz w:val="20"/>
                <w:szCs w:val="20"/>
                <w:lang w:val="es-ES"/>
              </w:rPr>
              <w:t xml:space="preserve"> </w:t>
            </w:r>
            <w:r w:rsidRPr="003C6E46">
              <w:rPr>
                <w:rFonts w:ascii="AkzidenzGrotesk" w:hAnsi="AkzidenzGrotesk"/>
                <w:sz w:val="20"/>
                <w:szCs w:val="20"/>
                <w:lang w:val="es-ES"/>
              </w:rPr>
              <w:t>cargo;</w:t>
            </w:r>
          </w:p>
          <w:p w14:paraId="475D9055" w14:textId="77777777" w:rsidR="003C6E46" w:rsidRPr="003C6E46" w:rsidRDefault="003C6E46" w:rsidP="003C6E46">
            <w:pPr>
              <w:pStyle w:val="Prrafodelista"/>
              <w:numPr>
                <w:ilvl w:val="0"/>
                <w:numId w:val="36"/>
              </w:numPr>
              <w:spacing w:line="300" w:lineRule="atLeast"/>
              <w:rPr>
                <w:rFonts w:ascii="AkzidenzGrotesk" w:hAnsi="AkzidenzGrotesk" w:cs="Arial"/>
                <w:szCs w:val="20"/>
                <w:lang w:val="es-MX"/>
              </w:rPr>
            </w:pPr>
            <w:r w:rsidRPr="003C6E46">
              <w:rPr>
                <w:rFonts w:ascii="AkzidenzGrotesk" w:hAnsi="AkzidenzGrotesk" w:cs="Arial"/>
                <w:szCs w:val="20"/>
              </w:rPr>
              <w:t xml:space="preserve">Colaborar en el diseño de planes y programas que se requieran para </w:t>
            </w:r>
            <w:proofErr w:type="spellStart"/>
            <w:r w:rsidRPr="003C6E46">
              <w:rPr>
                <w:rFonts w:ascii="AkzidenzGrotesk" w:hAnsi="AkzidenzGrotesk" w:cs="Arial"/>
                <w:szCs w:val="20"/>
              </w:rPr>
              <w:t>eficientar</w:t>
            </w:r>
            <w:proofErr w:type="spellEnd"/>
            <w:r w:rsidRPr="003C6E46">
              <w:rPr>
                <w:rFonts w:ascii="AkzidenzGrotesk" w:hAnsi="AkzidenzGrotesk" w:cs="Arial"/>
                <w:szCs w:val="20"/>
              </w:rPr>
              <w:t xml:space="preserve"> el despacho de los asuntos de su</w:t>
            </w:r>
            <w:r w:rsidRPr="003C6E46">
              <w:rPr>
                <w:rFonts w:ascii="AkzidenzGrotesk" w:hAnsi="AkzidenzGrotesk" w:cs="Arial"/>
                <w:spacing w:val="-12"/>
                <w:szCs w:val="20"/>
              </w:rPr>
              <w:t xml:space="preserve"> </w:t>
            </w:r>
            <w:r w:rsidRPr="003C6E46">
              <w:rPr>
                <w:rFonts w:ascii="AkzidenzGrotesk" w:hAnsi="AkzidenzGrotesk" w:cs="Arial"/>
                <w:szCs w:val="20"/>
              </w:rPr>
              <w:t>área;</w:t>
            </w:r>
          </w:p>
          <w:p w14:paraId="6B76DB8D" w14:textId="77777777" w:rsidR="003C6E46" w:rsidRPr="003C6E46" w:rsidRDefault="003C6E46" w:rsidP="003C6E46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58" w:line="307" w:lineRule="auto"/>
              <w:jc w:val="left"/>
              <w:rPr>
                <w:rFonts w:ascii="AkzidenzGrotesk" w:hAnsi="AkzidenzGrotesk" w:cs="Arial"/>
                <w:szCs w:val="20"/>
              </w:rPr>
            </w:pPr>
            <w:r w:rsidRPr="003C6E46">
              <w:rPr>
                <w:rFonts w:ascii="AkzidenzGrotesk" w:hAnsi="AkzidenzGrotesk" w:cs="Arial"/>
                <w:szCs w:val="20"/>
              </w:rPr>
              <w:t>Monitorear y vincularse con el área de informática cotidianamente sobre el funcionamiento óptimo del mobiliario y equipo de cómputo del Módulo de atención</w:t>
            </w:r>
            <w:r w:rsidRPr="003C6E46">
              <w:rPr>
                <w:rFonts w:ascii="AkzidenzGrotesk" w:hAnsi="AkzidenzGrotesk" w:cs="Arial"/>
                <w:spacing w:val="-32"/>
                <w:szCs w:val="20"/>
              </w:rPr>
              <w:t xml:space="preserve"> </w:t>
            </w:r>
            <w:r w:rsidRPr="003C6E46">
              <w:rPr>
                <w:rFonts w:ascii="AkzidenzGrotesk" w:hAnsi="AkzidenzGrotesk" w:cs="Arial"/>
                <w:szCs w:val="20"/>
              </w:rPr>
              <w:t>ciudadana;</w:t>
            </w:r>
          </w:p>
          <w:p w14:paraId="56B48BDC" w14:textId="49D1A5C9" w:rsidR="00570CE1" w:rsidRPr="003C6E46" w:rsidRDefault="003C6E46" w:rsidP="003C6E46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ind w:right="104"/>
              <w:jc w:val="both"/>
              <w:rPr>
                <w:rFonts w:ascii="AkzidenzGrotesk" w:hAnsi="AkzidenzGrotesk"/>
                <w:szCs w:val="20"/>
                <w:lang w:val="es-MX"/>
              </w:rPr>
            </w:pPr>
            <w:r w:rsidRPr="003C6E46">
              <w:rPr>
                <w:rFonts w:ascii="AkzidenzGrotesk" w:hAnsi="AkzidenzGrotesk"/>
                <w:sz w:val="20"/>
                <w:szCs w:val="20"/>
                <w:lang w:val="es-MX"/>
              </w:rPr>
              <w:t xml:space="preserve">Generar mecanismos por medio del </w:t>
            </w:r>
            <w:proofErr w:type="gramStart"/>
            <w:r w:rsidRPr="003C6E46">
              <w:rPr>
                <w:rFonts w:ascii="AkzidenzGrotesk" w:hAnsi="AkzidenzGrotesk"/>
                <w:sz w:val="20"/>
                <w:szCs w:val="20"/>
                <w:lang w:val="es-MX"/>
              </w:rPr>
              <w:t>cual  se</w:t>
            </w:r>
            <w:proofErr w:type="gramEnd"/>
            <w:r w:rsidRPr="003C6E46">
              <w:rPr>
                <w:rFonts w:ascii="AkzidenzGrotesk" w:hAnsi="AkzidenzGrotesk"/>
                <w:sz w:val="20"/>
                <w:szCs w:val="20"/>
                <w:lang w:val="es-MX"/>
              </w:rPr>
              <w:t xml:space="preserve">  dé  seguimiento  respecto  a  la  atención</w:t>
            </w:r>
            <w:r w:rsidRPr="003C6E46">
              <w:rPr>
                <w:rFonts w:ascii="AkzidenzGrotesk" w:hAnsi="AkzidenzGrotesk"/>
                <w:spacing w:val="30"/>
                <w:sz w:val="20"/>
                <w:szCs w:val="20"/>
                <w:lang w:val="es-MX"/>
              </w:rPr>
              <w:t xml:space="preserve"> </w:t>
            </w:r>
            <w:r w:rsidRPr="003C6E46">
              <w:rPr>
                <w:rFonts w:ascii="AkzidenzGrotesk" w:hAnsi="AkzidenzGrotesk"/>
                <w:sz w:val="20"/>
                <w:szCs w:val="20"/>
                <w:lang w:val="es-MX"/>
              </w:rPr>
              <w:t>y satisfacción de usuarios;</w:t>
            </w:r>
          </w:p>
        </w:tc>
      </w:tr>
    </w:tbl>
    <w:p w14:paraId="11975F6E" w14:textId="77777777" w:rsidR="00AC24E0" w:rsidRPr="003C6E46" w:rsidRDefault="00AC24E0" w:rsidP="00570CE1">
      <w:pPr>
        <w:pStyle w:val="MTexto"/>
        <w:rPr>
          <w:rFonts w:ascii="AkzidenzGrotesk" w:hAnsi="AkzidenzGrotesk"/>
          <w:b/>
        </w:rPr>
      </w:pPr>
    </w:p>
    <w:p w14:paraId="3E128553" w14:textId="4AF41A07" w:rsidR="00570CE1" w:rsidRPr="003C6E46" w:rsidRDefault="00570CE1" w:rsidP="00570CE1">
      <w:pPr>
        <w:pStyle w:val="MTexto"/>
        <w:rPr>
          <w:rFonts w:ascii="AkzidenzGrotesk" w:hAnsi="AkzidenzGrotesk"/>
          <w:b/>
        </w:rPr>
      </w:pPr>
      <w:r w:rsidRPr="003C6E46">
        <w:rPr>
          <w:rFonts w:ascii="AkzidenzGrotesk" w:hAnsi="AkzidenzGrotesk"/>
          <w:b/>
        </w:rPr>
        <w:t xml:space="preserve">Perfil del </w:t>
      </w:r>
      <w:proofErr w:type="gramStart"/>
      <w:r w:rsidRPr="003C6E46">
        <w:rPr>
          <w:rFonts w:ascii="AkzidenzGrotesk" w:hAnsi="AkzidenzGrotesk"/>
          <w:b/>
        </w:rPr>
        <w:t>Responsable</w:t>
      </w:r>
      <w:proofErr w:type="gramEnd"/>
      <w:r w:rsidRPr="003C6E46">
        <w:rPr>
          <w:rFonts w:ascii="AkzidenzGrotesk" w:hAnsi="AkzidenzGrotesk"/>
          <w:b/>
        </w:rPr>
        <w:t xml:space="preserve"> del Puesto</w:t>
      </w:r>
    </w:p>
    <w:p w14:paraId="06A4581E" w14:textId="77777777" w:rsidR="00570CE1" w:rsidRPr="003C6E46" w:rsidRDefault="00570CE1" w:rsidP="00570CE1">
      <w:pPr>
        <w:rPr>
          <w:rFonts w:ascii="AkzidenzGrotesk" w:hAnsi="AkzidenzGrotesk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3C6E46" w14:paraId="549B3A7C" w14:textId="77777777" w:rsidTr="004D50B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679184A9" w14:textId="77777777" w:rsidR="00570CE1" w:rsidRPr="003C6E46" w:rsidRDefault="00570CE1" w:rsidP="00A91241">
            <w:pPr>
              <w:jc w:val="center"/>
              <w:rPr>
                <w:rFonts w:ascii="AkzidenzGrotesk" w:hAnsi="AkzidenzGrotesk" w:cs="Arial"/>
                <w:b/>
              </w:rPr>
            </w:pPr>
            <w:r w:rsidRPr="003C6E46">
              <w:rPr>
                <w:rFonts w:ascii="AkzidenzGrotesk" w:hAnsi="AkzidenzGrotesk" w:cs="Arial"/>
                <w:b/>
              </w:rPr>
              <w:t>Perfil del Puesto</w:t>
            </w:r>
          </w:p>
        </w:tc>
      </w:tr>
      <w:tr w:rsidR="003C6E46" w:rsidRPr="003C6E46" w14:paraId="3B15561B" w14:textId="77777777" w:rsidTr="004D50B1">
        <w:trPr>
          <w:trHeight w:val="508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3C6E46" w:rsidRPr="003C6E46" w:rsidRDefault="003C6E46" w:rsidP="003C6E46">
            <w:pPr>
              <w:jc w:val="left"/>
              <w:rPr>
                <w:rFonts w:ascii="AkzidenzGrotesk" w:hAnsi="AkzidenzGrotesk" w:cs="Arial"/>
                <w:b/>
              </w:rPr>
            </w:pPr>
            <w:r w:rsidRPr="003C6E46">
              <w:rPr>
                <w:rFonts w:ascii="AkzidenzGrotesk" w:hAnsi="AkzidenzGrotesk"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DA05622" w14:textId="7154F126" w:rsidR="003C6E46" w:rsidRPr="003C6E46" w:rsidRDefault="003C6E46" w:rsidP="003C6E46">
            <w:pPr>
              <w:pStyle w:val="Prrafodelista"/>
              <w:numPr>
                <w:ilvl w:val="0"/>
                <w:numId w:val="48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bCs/>
                <w:szCs w:val="20"/>
              </w:rPr>
              <w:t>Licenciatura en Derecho y/o Administración y/o Comunicación.</w:t>
            </w:r>
          </w:p>
        </w:tc>
      </w:tr>
      <w:tr w:rsidR="003C6E46" w:rsidRPr="003C6E46" w14:paraId="02BD650D" w14:textId="77777777" w:rsidTr="004D50B1">
        <w:trPr>
          <w:trHeight w:val="402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3C6E46" w:rsidRPr="003C6E46" w:rsidRDefault="003C6E46" w:rsidP="003C6E46">
            <w:pPr>
              <w:jc w:val="left"/>
              <w:rPr>
                <w:rFonts w:ascii="AkzidenzGrotesk" w:hAnsi="AkzidenzGrotesk" w:cs="Arial"/>
                <w:b/>
              </w:rPr>
            </w:pPr>
            <w:r w:rsidRPr="003C6E46">
              <w:rPr>
                <w:rFonts w:ascii="AkzidenzGrotesk" w:hAnsi="AkzidenzGrotesk" w:cs="Arial"/>
                <w:b/>
              </w:rPr>
              <w:lastRenderedPageBreak/>
              <w:t>Experiencia: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ECABCE5" w14:textId="3812DF33" w:rsidR="003C6E46" w:rsidRPr="003C6E46" w:rsidRDefault="003C6E46" w:rsidP="003C6E46">
            <w:pPr>
              <w:pStyle w:val="Prrafodelista"/>
              <w:numPr>
                <w:ilvl w:val="0"/>
                <w:numId w:val="48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bCs/>
                <w:szCs w:val="20"/>
              </w:rPr>
              <w:t>Mínima de 2 años.</w:t>
            </w:r>
          </w:p>
        </w:tc>
      </w:tr>
      <w:tr w:rsidR="003C6E46" w:rsidRPr="003C6E46" w14:paraId="4CEBB518" w14:textId="77777777" w:rsidTr="004D50B1">
        <w:trPr>
          <w:trHeight w:val="376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3C6E46" w:rsidRPr="003C6E46" w:rsidRDefault="003C6E46" w:rsidP="003C6E46">
            <w:pPr>
              <w:jc w:val="left"/>
              <w:rPr>
                <w:rFonts w:ascii="AkzidenzGrotesk" w:hAnsi="AkzidenzGrotesk" w:cs="Arial"/>
                <w:b/>
              </w:rPr>
            </w:pPr>
            <w:r w:rsidRPr="003C6E46">
              <w:rPr>
                <w:rFonts w:ascii="AkzidenzGrotesk" w:hAnsi="AkzidenzGrotesk"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26CA465" w14:textId="3CC3DA9B" w:rsidR="003C6E46" w:rsidRPr="003C6E46" w:rsidRDefault="003C6E46" w:rsidP="003C6E46">
            <w:pPr>
              <w:pStyle w:val="Prrafodelista"/>
              <w:numPr>
                <w:ilvl w:val="0"/>
                <w:numId w:val="48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3C6E46">
              <w:rPr>
                <w:rFonts w:ascii="AkzidenzGrotesk" w:hAnsi="AkzidenzGrotesk" w:cs="Arial"/>
                <w:bCs/>
                <w:szCs w:val="20"/>
              </w:rPr>
              <w:t>Derecho, Administración Pública, Comunicación.</w:t>
            </w:r>
          </w:p>
        </w:tc>
      </w:tr>
      <w:tr w:rsidR="003C6E46" w:rsidRPr="003C6E46" w14:paraId="17889B1A" w14:textId="77777777" w:rsidTr="004D50B1">
        <w:trPr>
          <w:trHeight w:val="691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3C6E46" w:rsidRPr="003C6E46" w:rsidRDefault="003C6E46" w:rsidP="003C6E46">
            <w:pPr>
              <w:jc w:val="left"/>
              <w:rPr>
                <w:rFonts w:ascii="AkzidenzGrotesk" w:hAnsi="AkzidenzGrotesk" w:cs="Arial"/>
                <w:b/>
              </w:rPr>
            </w:pPr>
            <w:r w:rsidRPr="003C6E46">
              <w:rPr>
                <w:rFonts w:ascii="AkzidenzGrotesk" w:hAnsi="AkzidenzGrotesk"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8322A2B" w14:textId="7D27F1B1" w:rsidR="003C6E46" w:rsidRPr="003C6E46" w:rsidRDefault="003C6E46" w:rsidP="003C6E46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00" w:lineRule="atLeast"/>
              <w:rPr>
                <w:rFonts w:ascii="AkzidenzGrotesk" w:hAnsi="AkzidenzGrotesk" w:cs="Arial"/>
                <w:bCs/>
                <w:szCs w:val="20"/>
              </w:rPr>
            </w:pPr>
            <w:r w:rsidRPr="003C6E46">
              <w:rPr>
                <w:rFonts w:ascii="AkzidenzGrotesk" w:hAnsi="AkzidenzGrotesk" w:cs="Arial"/>
                <w:bCs/>
                <w:szCs w:val="20"/>
              </w:rPr>
              <w:t>Liderazgo, Manejo de Recursos Humanos y materiales, trabajo en equipo, disciplina y relaciones humanas.</w:t>
            </w:r>
          </w:p>
        </w:tc>
      </w:tr>
    </w:tbl>
    <w:p w14:paraId="6EB2E200" w14:textId="77777777" w:rsidR="00570CE1" w:rsidRPr="003C6E46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5F95049F" w14:textId="77777777" w:rsidR="00570CE1" w:rsidRPr="003C6E46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2DF33E1" w14:textId="77777777" w:rsidR="00570CE1" w:rsidRPr="003C6E46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7D6430F" w14:textId="77777777" w:rsidR="00570CE1" w:rsidRPr="003C6E46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1D78E42" w14:textId="77777777" w:rsidR="00570CE1" w:rsidRPr="003C6E46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420A21A1" w14:textId="77777777" w:rsidR="00570CE1" w:rsidRPr="003C6E46" w:rsidRDefault="00570CE1" w:rsidP="00EA0DB3">
      <w:pPr>
        <w:rPr>
          <w:rFonts w:ascii="AkzidenzGrotesk" w:hAnsi="AkzidenzGrotesk"/>
        </w:rPr>
      </w:pPr>
      <w:bookmarkStart w:id="1" w:name="_GoBack"/>
      <w:bookmarkEnd w:id="1"/>
    </w:p>
    <w:sectPr w:rsidR="00570CE1" w:rsidRPr="003C6E46" w:rsidSect="005E4467">
      <w:headerReference w:type="default" r:id="rId8"/>
      <w:footerReference w:type="default" r:id="rId9"/>
      <w:pgSz w:w="12242" w:h="15842" w:code="1"/>
      <w:pgMar w:top="2269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CF51" w14:textId="77777777" w:rsidR="00E8228A" w:rsidRDefault="00E8228A">
      <w:r>
        <w:separator/>
      </w:r>
    </w:p>
  </w:endnote>
  <w:endnote w:type="continuationSeparator" w:id="0">
    <w:p w14:paraId="2CB73E88" w14:textId="77777777" w:rsidR="00E8228A" w:rsidRDefault="00E8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7777777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C494B">
      <w:rPr>
        <w:noProof/>
      </w:rPr>
      <w:t>1</w:t>
    </w:r>
    <w:r>
      <w:fldChar w:fldCharType="end"/>
    </w:r>
  </w:p>
  <w:p w14:paraId="40BD31CB" w14:textId="6BA4097F" w:rsidR="00EA0DB3" w:rsidRPr="00954A22" w:rsidRDefault="00EA0DB3" w:rsidP="00BA39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B32C" w14:textId="77777777" w:rsidR="00E8228A" w:rsidRDefault="00E8228A">
      <w:r>
        <w:separator/>
      </w:r>
    </w:p>
  </w:footnote>
  <w:footnote w:type="continuationSeparator" w:id="0">
    <w:p w14:paraId="60454895" w14:textId="77777777" w:rsidR="00E8228A" w:rsidRDefault="00E8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9029ED7" w:rsidR="00EA0DB3" w:rsidRPr="00130479" w:rsidRDefault="00E8228A" w:rsidP="00130479">
    <w:pPr>
      <w:pStyle w:val="Encabezado"/>
      <w:jc w:val="right"/>
      <w:rPr>
        <w:color w:val="FF0000"/>
      </w:rPr>
    </w:pPr>
    <w:r>
      <w:rPr>
        <w:noProof/>
        <w:color w:val="FF0000"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292.2pt;margin-top:-24.7pt;width:179.1pt;height:22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1B8520E2" w14:textId="69DDE03E" w:rsidR="00EA0DB3" w:rsidRPr="00A631F5" w:rsidRDefault="00395009" w:rsidP="00130479">
                <w:pPr>
                  <w:jc w:val="right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“</w:t>
                </w:r>
                <w:r w:rsidR="00A51F07" w:rsidRPr="00BC3846"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2021: Año de la Independencia</w:t>
                </w: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”.</w:t>
                </w:r>
              </w:p>
            </w:txbxContent>
          </v:textbox>
        </v:shape>
      </w:pict>
    </w:r>
    <w:r w:rsidR="00A51F07" w:rsidRPr="00130479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DC1A633" wp14:editId="789B3B25">
          <wp:simplePos x="0" y="0"/>
          <wp:positionH relativeFrom="column">
            <wp:posOffset>-1061085</wp:posOffset>
          </wp:positionH>
          <wp:positionV relativeFrom="paragraph">
            <wp:posOffset>-881380</wp:posOffset>
          </wp:positionV>
          <wp:extent cx="7734300" cy="100088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08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479" w:rsidRPr="00130479">
      <w:rPr>
        <w:rFonts w:ascii="AkzidenzGrotesk" w:hAnsi="AkzidenzGrotesk"/>
        <w:i/>
        <w:iCs/>
        <w:color w:val="FF0000"/>
      </w:rPr>
      <w:t>2021: Año de la Independencia</w:t>
    </w:r>
    <w:r w:rsidR="00130479" w:rsidRPr="00130479">
      <w:rPr>
        <w:noProof/>
        <w:color w:val="FF0000"/>
      </w:rPr>
      <w:t xml:space="preserve"> </w:t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B571A"/>
    <w:multiLevelType w:val="hybridMultilevel"/>
    <w:tmpl w:val="7DACBDEE"/>
    <w:lvl w:ilvl="0" w:tplc="080A0013">
      <w:start w:val="1"/>
      <w:numFmt w:val="upperRoman"/>
      <w:lvlText w:val="%1."/>
      <w:lvlJc w:val="right"/>
      <w:pPr>
        <w:ind w:left="823" w:hanging="360"/>
      </w:pPr>
      <w:rPr>
        <w:rFonts w:hint="default"/>
        <w:w w:val="99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75C"/>
    <w:multiLevelType w:val="hybridMultilevel"/>
    <w:tmpl w:val="6310E13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A767D"/>
    <w:multiLevelType w:val="hybridMultilevel"/>
    <w:tmpl w:val="E076B87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72AE8"/>
    <w:multiLevelType w:val="hybridMultilevel"/>
    <w:tmpl w:val="812856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45A6C"/>
    <w:multiLevelType w:val="hybridMultilevel"/>
    <w:tmpl w:val="5F70C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9294D"/>
    <w:multiLevelType w:val="hybridMultilevel"/>
    <w:tmpl w:val="36A249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43"/>
  </w:num>
  <w:num w:numId="4">
    <w:abstractNumId w:val="27"/>
  </w:num>
  <w:num w:numId="5">
    <w:abstractNumId w:val="16"/>
  </w:num>
  <w:num w:numId="6">
    <w:abstractNumId w:val="11"/>
  </w:num>
  <w:num w:numId="7">
    <w:abstractNumId w:val="18"/>
  </w:num>
  <w:num w:numId="8">
    <w:abstractNumId w:val="33"/>
  </w:num>
  <w:num w:numId="9">
    <w:abstractNumId w:val="8"/>
  </w:num>
  <w:num w:numId="10">
    <w:abstractNumId w:val="14"/>
  </w:num>
  <w:num w:numId="11">
    <w:abstractNumId w:val="19"/>
  </w:num>
  <w:num w:numId="12">
    <w:abstractNumId w:val="12"/>
  </w:num>
  <w:num w:numId="13">
    <w:abstractNumId w:val="39"/>
  </w:num>
  <w:num w:numId="14">
    <w:abstractNumId w:val="3"/>
  </w:num>
  <w:num w:numId="15">
    <w:abstractNumId w:val="15"/>
  </w:num>
  <w:num w:numId="16">
    <w:abstractNumId w:val="21"/>
  </w:num>
  <w:num w:numId="17">
    <w:abstractNumId w:val="44"/>
  </w:num>
  <w:num w:numId="18">
    <w:abstractNumId w:val="46"/>
  </w:num>
  <w:num w:numId="19">
    <w:abstractNumId w:val="22"/>
  </w:num>
  <w:num w:numId="20">
    <w:abstractNumId w:val="34"/>
  </w:num>
  <w:num w:numId="21">
    <w:abstractNumId w:val="30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31"/>
  </w:num>
  <w:num w:numId="27">
    <w:abstractNumId w:val="26"/>
  </w:num>
  <w:num w:numId="28">
    <w:abstractNumId w:val="1"/>
  </w:num>
  <w:num w:numId="29">
    <w:abstractNumId w:val="38"/>
  </w:num>
  <w:num w:numId="30">
    <w:abstractNumId w:val="24"/>
  </w:num>
  <w:num w:numId="31">
    <w:abstractNumId w:val="45"/>
  </w:num>
  <w:num w:numId="32">
    <w:abstractNumId w:val="42"/>
  </w:num>
  <w:num w:numId="33">
    <w:abstractNumId w:val="47"/>
  </w:num>
  <w:num w:numId="34">
    <w:abstractNumId w:val="17"/>
  </w:num>
  <w:num w:numId="35">
    <w:abstractNumId w:val="7"/>
  </w:num>
  <w:num w:numId="36">
    <w:abstractNumId w:val="29"/>
  </w:num>
  <w:num w:numId="37">
    <w:abstractNumId w:val="23"/>
  </w:num>
  <w:num w:numId="38">
    <w:abstractNumId w:val="35"/>
  </w:num>
  <w:num w:numId="39">
    <w:abstractNumId w:val="10"/>
  </w:num>
  <w:num w:numId="40">
    <w:abstractNumId w:val="13"/>
  </w:num>
  <w:num w:numId="41">
    <w:abstractNumId w:val="4"/>
  </w:num>
  <w:num w:numId="42">
    <w:abstractNumId w:val="28"/>
  </w:num>
  <w:num w:numId="43">
    <w:abstractNumId w:val="40"/>
  </w:num>
  <w:num w:numId="44">
    <w:abstractNumId w:val="25"/>
  </w:num>
  <w:num w:numId="45">
    <w:abstractNumId w:val="32"/>
  </w:num>
  <w:num w:numId="46">
    <w:abstractNumId w:val="41"/>
  </w:num>
  <w:num w:numId="47">
    <w:abstractNumId w:val="37"/>
  </w:num>
  <w:num w:numId="48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479"/>
    <w:rsid w:val="001305B3"/>
    <w:rsid w:val="00131734"/>
    <w:rsid w:val="001346AD"/>
    <w:rsid w:val="0013613C"/>
    <w:rsid w:val="00141F29"/>
    <w:rsid w:val="00142EB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5ED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4B0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B38"/>
    <w:rsid w:val="00317EF7"/>
    <w:rsid w:val="003218CD"/>
    <w:rsid w:val="00322DD2"/>
    <w:rsid w:val="00326C1A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009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6E46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5FA6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670AF"/>
    <w:rsid w:val="00472E7F"/>
    <w:rsid w:val="00473B0D"/>
    <w:rsid w:val="00474CD7"/>
    <w:rsid w:val="00477D00"/>
    <w:rsid w:val="00483976"/>
    <w:rsid w:val="00483BAE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0B1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744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2FE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1EA9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1B9"/>
    <w:rsid w:val="005962B9"/>
    <w:rsid w:val="00596DE5"/>
    <w:rsid w:val="005A05AC"/>
    <w:rsid w:val="005A18A4"/>
    <w:rsid w:val="005A3021"/>
    <w:rsid w:val="005A34C6"/>
    <w:rsid w:val="005A401B"/>
    <w:rsid w:val="005A46EF"/>
    <w:rsid w:val="005A497A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71C"/>
    <w:rsid w:val="005D49CC"/>
    <w:rsid w:val="005D58A3"/>
    <w:rsid w:val="005E03DD"/>
    <w:rsid w:val="005E159A"/>
    <w:rsid w:val="005E1D3D"/>
    <w:rsid w:val="005E202D"/>
    <w:rsid w:val="005E4467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55D"/>
    <w:rsid w:val="00754A9D"/>
    <w:rsid w:val="00755339"/>
    <w:rsid w:val="00756B25"/>
    <w:rsid w:val="00757CFC"/>
    <w:rsid w:val="00757E6E"/>
    <w:rsid w:val="00761DF9"/>
    <w:rsid w:val="00762947"/>
    <w:rsid w:val="007632BD"/>
    <w:rsid w:val="00765112"/>
    <w:rsid w:val="00765245"/>
    <w:rsid w:val="007677F8"/>
    <w:rsid w:val="0077067D"/>
    <w:rsid w:val="00771DB9"/>
    <w:rsid w:val="00773452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15B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6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2FB"/>
    <w:rsid w:val="00836C01"/>
    <w:rsid w:val="00837EA5"/>
    <w:rsid w:val="008403A8"/>
    <w:rsid w:val="00840CA2"/>
    <w:rsid w:val="00840DA1"/>
    <w:rsid w:val="00841A9D"/>
    <w:rsid w:val="00842079"/>
    <w:rsid w:val="008422CE"/>
    <w:rsid w:val="00842984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0979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22B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0AD8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1F07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878EB"/>
    <w:rsid w:val="00A91241"/>
    <w:rsid w:val="00A9332D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4E0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975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1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385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181D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D29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602C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874"/>
    <w:rsid w:val="00E72AAC"/>
    <w:rsid w:val="00E72BB5"/>
    <w:rsid w:val="00E73605"/>
    <w:rsid w:val="00E73C66"/>
    <w:rsid w:val="00E7475F"/>
    <w:rsid w:val="00E7764E"/>
    <w:rsid w:val="00E77F78"/>
    <w:rsid w:val="00E80785"/>
    <w:rsid w:val="00E8228A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3A0C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19F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3C15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5C71D553-92D0-4D4D-A929-0503E1B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Refdecomentario">
    <w:name w:val="annotation reference"/>
    <w:basedOn w:val="Fuentedeprrafopredeter"/>
    <w:semiHidden/>
    <w:unhideWhenUsed/>
    <w:rsid w:val="00990A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0AD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0AD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90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90AD8"/>
    <w:rPr>
      <w:rFonts w:ascii="Arial" w:hAnsi="Arial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E4467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5E4467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1466-6F97-440E-A0E4-BDB7817F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102</cp:revision>
  <cp:lastPrinted>2016-09-01T20:25:00Z</cp:lastPrinted>
  <dcterms:created xsi:type="dcterms:W3CDTF">2016-08-26T17:06:00Z</dcterms:created>
  <dcterms:modified xsi:type="dcterms:W3CDTF">2021-12-17T21:01:00Z</dcterms:modified>
</cp:coreProperties>
</file>