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0BAD" w14:textId="77777777" w:rsidR="005E4467" w:rsidRPr="008A58FE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8A58FE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 xml:space="preserve">COORDINACIÓN DE TRANSPARENCIA Y ACCESO </w:t>
      </w:r>
    </w:p>
    <w:p w14:paraId="36A55B00" w14:textId="66F2E961" w:rsidR="00EA0DB3" w:rsidRPr="008A58FE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8A58FE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>A LA INFORMACIÓN PÚBLICA</w:t>
      </w:r>
    </w:p>
    <w:p w14:paraId="6228607A" w14:textId="77777777" w:rsidR="00570CE1" w:rsidRPr="008A58FE" w:rsidRDefault="00570CE1" w:rsidP="00EA0DB3">
      <w:pPr>
        <w:rPr>
          <w:rFonts w:ascii="AkzidenzGrotesk" w:hAnsi="AkzidenzGrotesk"/>
        </w:rPr>
      </w:pPr>
    </w:p>
    <w:p w14:paraId="0397A228" w14:textId="77777777" w:rsidR="00570CE1" w:rsidRPr="008A58FE" w:rsidRDefault="00570CE1" w:rsidP="00570CE1">
      <w:pPr>
        <w:pStyle w:val="MTitulo"/>
        <w:numPr>
          <w:ilvl w:val="0"/>
          <w:numId w:val="1"/>
        </w:numPr>
        <w:rPr>
          <w:rFonts w:ascii="AkzidenzGrotesk" w:hAnsi="AkzidenzGrotesk"/>
          <w:color w:val="990000"/>
        </w:rPr>
      </w:pPr>
      <w:bookmarkStart w:id="0" w:name="_Toc460230145"/>
      <w:r w:rsidRPr="008A58FE">
        <w:rPr>
          <w:rFonts w:ascii="AkzidenzGrotesk" w:hAnsi="AkzidenzGrotesk"/>
          <w:color w:val="990000"/>
        </w:rPr>
        <w:t>PERFIL DE PUESTO</w:t>
      </w:r>
      <w:bookmarkEnd w:id="0"/>
    </w:p>
    <w:p w14:paraId="5796154C" w14:textId="77777777" w:rsidR="00570CE1" w:rsidRPr="008A58FE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8A58FE">
        <w:rPr>
          <w:rFonts w:ascii="AkzidenzGrotesk" w:hAnsi="AkzidenzGrotesk"/>
          <w:bCs/>
          <w:color w:val="262626" w:themeColor="text1" w:themeTint="D9"/>
        </w:rPr>
        <w:t>Descripción del Puesto</w:t>
      </w:r>
      <w:r w:rsidRPr="008A58FE">
        <w:rPr>
          <w:rFonts w:ascii="AkzidenzGrotesk" w:hAnsi="AkzidenzGrotesk"/>
          <w:bCs/>
          <w:color w:val="262626" w:themeColor="text1" w:themeTint="D9"/>
        </w:rPr>
        <w:tab/>
      </w:r>
    </w:p>
    <w:p w14:paraId="4D20AD30" w14:textId="77777777" w:rsidR="00570CE1" w:rsidRPr="008A58FE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950"/>
        <w:gridCol w:w="29"/>
        <w:gridCol w:w="5077"/>
      </w:tblGrid>
      <w:tr w:rsidR="008A58FE" w:rsidRPr="008A58FE" w14:paraId="75AD415C" w14:textId="77777777" w:rsidTr="003C3DB3">
        <w:trPr>
          <w:trHeight w:val="724"/>
        </w:trPr>
        <w:tc>
          <w:tcPr>
            <w:tcW w:w="2197" w:type="pct"/>
            <w:gridSpan w:val="2"/>
            <w:shd w:val="clear" w:color="auto" w:fill="990000"/>
            <w:hideMark/>
          </w:tcPr>
          <w:p w14:paraId="33BBEB56" w14:textId="2AE8DDAA" w:rsidR="008A58FE" w:rsidRPr="008A58FE" w:rsidRDefault="008A58FE" w:rsidP="008A58FE">
            <w:pPr>
              <w:tabs>
                <w:tab w:val="left" w:pos="578"/>
              </w:tabs>
              <w:ind w:right="3136"/>
              <w:rPr>
                <w:rFonts w:ascii="AkzidenzGrotesk" w:hAnsi="AkzidenzGrotesk" w:cs="Arial"/>
                <w:bCs/>
                <w:color w:val="FFFFFF" w:themeColor="background1"/>
              </w:rPr>
            </w:pPr>
            <w:r w:rsidRPr="008A58FE">
              <w:rPr>
                <w:rFonts w:ascii="AkzidenzGrotesk" w:hAnsi="AkzidenzGrotesk" w:cs="Arial"/>
                <w:bCs/>
                <w:color w:val="FFFFFF" w:themeColor="background1"/>
              </w:rPr>
              <w:t>Puesto:</w:t>
            </w:r>
          </w:p>
          <w:p w14:paraId="428C90D5" w14:textId="77777777" w:rsidR="008A58FE" w:rsidRPr="008A58FE" w:rsidRDefault="008A58FE" w:rsidP="008A58FE">
            <w:pPr>
              <w:jc w:val="center"/>
              <w:rPr>
                <w:rFonts w:ascii="AkzidenzGrotesk" w:hAnsi="AkzidenzGrotesk" w:cs="Arial"/>
                <w:bCs/>
                <w:color w:val="FFFFFF" w:themeColor="background1"/>
              </w:rPr>
            </w:pP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14:paraId="4B401D34" w14:textId="034CE0A8" w:rsidR="008A58FE" w:rsidRPr="008A58FE" w:rsidRDefault="008A58FE" w:rsidP="008A58FE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8A58FE">
              <w:rPr>
                <w:rFonts w:ascii="AkzidenzGrotesk" w:hAnsi="AkzidenzGrotesk" w:cs="Arial"/>
                <w:b/>
                <w:szCs w:val="20"/>
              </w:rPr>
              <w:t>Departamento de Estadística e Informática</w:t>
            </w:r>
            <w:r w:rsidRPr="008A58FE">
              <w:rPr>
                <w:rFonts w:ascii="AkzidenzGrotesk" w:hAnsi="AkzidenzGrotesk" w:cs="Arial"/>
                <w:szCs w:val="20"/>
              </w:rPr>
              <w:t xml:space="preserve"> </w:t>
            </w:r>
          </w:p>
        </w:tc>
      </w:tr>
      <w:tr w:rsidR="008A58FE" w:rsidRPr="008A58FE" w14:paraId="43844D61" w14:textId="77777777" w:rsidTr="003C3DB3">
        <w:trPr>
          <w:trHeight w:val="712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12B14EBA" w14:textId="77777777" w:rsidR="008A58FE" w:rsidRPr="008A58FE" w:rsidRDefault="008A58FE" w:rsidP="008A58FE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8A58FE">
              <w:rPr>
                <w:rFonts w:ascii="AkzidenzGrotesk" w:hAnsi="AkzidenzGrotesk" w:cs="Arial"/>
                <w:bCs/>
                <w:color w:val="262626" w:themeColor="text1" w:themeTint="D9"/>
              </w:rPr>
              <w:t>Área de Adscripción: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0D520A43" w14:textId="77777777" w:rsidR="008A58FE" w:rsidRPr="008A58FE" w:rsidRDefault="008A58FE" w:rsidP="008A58FE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</w:p>
          <w:p w14:paraId="3725E30D" w14:textId="1F605EC5" w:rsidR="008A58FE" w:rsidRPr="008A58FE" w:rsidRDefault="008A58FE" w:rsidP="008A58FE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8A58FE">
              <w:rPr>
                <w:rFonts w:ascii="AkzidenzGrotesk" w:hAnsi="AkzidenzGrotesk" w:cs="Arial"/>
                <w:szCs w:val="20"/>
              </w:rPr>
              <w:t>Coordinación de Transparencia y Acceso a la Información Pública.</w:t>
            </w:r>
          </w:p>
        </w:tc>
      </w:tr>
      <w:tr w:rsidR="008A58FE" w:rsidRPr="008A58FE" w14:paraId="1C4817FA" w14:textId="77777777" w:rsidTr="003C3DB3">
        <w:trPr>
          <w:trHeight w:val="454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45994C0B" w14:textId="77777777" w:rsidR="008A58FE" w:rsidRPr="008A58FE" w:rsidRDefault="008A58FE" w:rsidP="008A58FE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8A58FE">
              <w:rPr>
                <w:rFonts w:ascii="AkzidenzGrotesk" w:hAnsi="AkzidenzGrotesk" w:cs="Arial"/>
                <w:bCs/>
                <w:color w:val="262626" w:themeColor="text1" w:themeTint="D9"/>
              </w:rPr>
              <w:t>Reporta a: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2507189D" w14:textId="29524A81" w:rsidR="008A58FE" w:rsidRPr="008A58FE" w:rsidRDefault="008A58FE" w:rsidP="008A58FE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8A58FE">
              <w:rPr>
                <w:rFonts w:ascii="AkzidenzGrotesk" w:hAnsi="AkzidenzGrotesk" w:cs="Arial"/>
                <w:szCs w:val="20"/>
              </w:rPr>
              <w:t>Coordinación.</w:t>
            </w:r>
          </w:p>
        </w:tc>
      </w:tr>
      <w:tr w:rsidR="008A58FE" w:rsidRPr="008A58FE" w14:paraId="1010F58C" w14:textId="77777777" w:rsidTr="003C3DB3">
        <w:trPr>
          <w:trHeight w:val="831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14CC9C9A" w14:textId="77777777" w:rsidR="008A58FE" w:rsidRPr="008A58FE" w:rsidRDefault="008A58FE" w:rsidP="008A58FE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8A58FE">
              <w:rPr>
                <w:rFonts w:ascii="AkzidenzGrotesk" w:hAnsi="AkzidenzGrotesk" w:cs="Arial"/>
                <w:bCs/>
                <w:color w:val="262626" w:themeColor="text1" w:themeTint="D9"/>
              </w:rPr>
              <w:t>Supervisa a: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08A07E11" w14:textId="2263D82A" w:rsidR="008A58FE" w:rsidRPr="008A58FE" w:rsidRDefault="008A58FE" w:rsidP="008A58FE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8A58FE">
              <w:rPr>
                <w:rFonts w:ascii="AkzidenzGrotesk" w:hAnsi="AkzidenzGrotesk" w:cs="Arial"/>
                <w:szCs w:val="20"/>
              </w:rPr>
              <w:t>Ninguno</w:t>
            </w:r>
          </w:p>
        </w:tc>
      </w:tr>
      <w:tr w:rsidR="00570CE1" w:rsidRPr="008A58FE" w14:paraId="61D45980" w14:textId="77777777" w:rsidTr="005961B9">
        <w:trPr>
          <w:trHeight w:val="454"/>
        </w:trPr>
        <w:tc>
          <w:tcPr>
            <w:tcW w:w="5000" w:type="pct"/>
            <w:gridSpan w:val="3"/>
            <w:shd w:val="clear" w:color="auto" w:fill="990000"/>
            <w:vAlign w:val="center"/>
            <w:hideMark/>
          </w:tcPr>
          <w:p w14:paraId="75A8A524" w14:textId="77777777" w:rsidR="00570CE1" w:rsidRPr="008A58FE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8A58FE">
              <w:rPr>
                <w:rFonts w:ascii="AkzidenzGrotesk" w:hAnsi="AkzidenzGrotesk" w:cs="Arial"/>
                <w:bCs/>
              </w:rPr>
              <w:t>Interacciones Internas</w:t>
            </w:r>
          </w:p>
        </w:tc>
      </w:tr>
      <w:tr w:rsidR="00570CE1" w:rsidRPr="008A58FE" w14:paraId="0A717783" w14:textId="77777777" w:rsidTr="0095222B">
        <w:trPr>
          <w:trHeight w:val="442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2A7A746B" w14:textId="77777777" w:rsidR="00570CE1" w:rsidRPr="008A58FE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8A58FE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36D0FC72" w14:textId="77777777" w:rsidR="00570CE1" w:rsidRPr="008A58FE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8A58FE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5E4467" w:rsidRPr="008A58FE" w14:paraId="0223D1DE" w14:textId="77777777" w:rsidTr="0095222B">
        <w:trPr>
          <w:trHeight w:val="1757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E0284C0" w14:textId="7B284492" w:rsidR="005E4467" w:rsidRPr="008A58FE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8A58FE">
              <w:rPr>
                <w:rFonts w:ascii="AkzidenzGrotesk" w:hAnsi="AkzidenzGrotesk" w:cs="Arial"/>
                <w:szCs w:val="20"/>
              </w:rPr>
              <w:t>Todas las Dependencias Administrativas del H. Ayuntamiento.</w:t>
            </w:r>
          </w:p>
        </w:tc>
        <w:tc>
          <w:tcPr>
            <w:tcW w:w="2819" w:type="pct"/>
            <w:gridSpan w:val="2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0C6DF12" w14:textId="77777777" w:rsidR="008A58FE" w:rsidRPr="008A58FE" w:rsidRDefault="008A58FE" w:rsidP="008A58FE">
            <w:pPr>
              <w:pStyle w:val="TableParagraph"/>
              <w:spacing w:line="276" w:lineRule="auto"/>
              <w:ind w:left="31" w:right="36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El despacho de los asuntos de la Coordinación de Transparencia y Acceso a la Información Pública del Municipio de Centro, en materia de archivo, estadística e informática.</w:t>
            </w:r>
          </w:p>
          <w:p w14:paraId="24C70552" w14:textId="7901FEE8" w:rsidR="005E4467" w:rsidRPr="008A58FE" w:rsidRDefault="008A58FE" w:rsidP="008A58FE">
            <w:pPr>
              <w:pStyle w:val="TableParagraph"/>
              <w:spacing w:line="276" w:lineRule="auto"/>
              <w:ind w:left="31" w:right="36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El cumplimiento de lo establecido en los artículos 67, 68, 69 y 70, 77,  78 y 79 del Reglamento de la Administración Pública del Municipio de Centro, 4, 5, 6, 7, 8, 12, 13, 14, 19, 20, 21, 23, 24, 25, 26, 47, 48, 49,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50, 51, 52, 76, 77, 78, de la Ley de Transparencia y Acceso a la Información Pública del Estado de Tabasco; los artículos 21, 22, 23 y  24 del Reglamento de Transparencia y Acceso a la Información Pública de Centro, Tabasco;</w:t>
            </w:r>
          </w:p>
        </w:tc>
      </w:tr>
      <w:tr w:rsidR="00570CE1" w:rsidRPr="008A58FE" w14:paraId="2A6083AA" w14:textId="77777777" w:rsidTr="0095222B">
        <w:trPr>
          <w:trHeight w:val="442"/>
        </w:trPr>
        <w:tc>
          <w:tcPr>
            <w:tcW w:w="2181" w:type="pct"/>
            <w:shd w:val="clear" w:color="auto" w:fill="990000"/>
            <w:vAlign w:val="center"/>
            <w:hideMark/>
          </w:tcPr>
          <w:p w14:paraId="3336D22B" w14:textId="77777777" w:rsidR="00570CE1" w:rsidRPr="008A58FE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8A58FE">
              <w:rPr>
                <w:rFonts w:ascii="AkzidenzGrotesk" w:hAnsi="AkzidenzGrotesk" w:cs="Arial"/>
                <w:bCs/>
              </w:rPr>
              <w:t>Interacciones Externas</w:t>
            </w:r>
          </w:p>
        </w:tc>
        <w:tc>
          <w:tcPr>
            <w:tcW w:w="2819" w:type="pct"/>
            <w:gridSpan w:val="2"/>
            <w:shd w:val="clear" w:color="auto" w:fill="990000"/>
            <w:vAlign w:val="center"/>
          </w:tcPr>
          <w:p w14:paraId="59298F04" w14:textId="77777777" w:rsidR="00570CE1" w:rsidRPr="008A58FE" w:rsidRDefault="00570CE1" w:rsidP="00775E78">
            <w:pPr>
              <w:rPr>
                <w:rFonts w:ascii="AkzidenzGrotesk" w:hAnsi="AkzidenzGrotesk" w:cs="Arial"/>
                <w:bCs/>
              </w:rPr>
            </w:pPr>
          </w:p>
        </w:tc>
      </w:tr>
      <w:tr w:rsidR="00570CE1" w:rsidRPr="008A58FE" w14:paraId="5AA5A28C" w14:textId="77777777" w:rsidTr="0095222B">
        <w:trPr>
          <w:trHeight w:val="454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53A7EA39" w14:textId="77777777" w:rsidR="00570CE1" w:rsidRPr="008A58FE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8A58FE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6BD161E6" w14:textId="77777777" w:rsidR="00570CE1" w:rsidRPr="008A58FE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8A58FE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3C3DB3" w:rsidRPr="008A58FE" w14:paraId="4EA3AA36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024402D" w14:textId="77777777" w:rsidR="003C3DB3" w:rsidRPr="008A58FE" w:rsidRDefault="003C3DB3" w:rsidP="003C3DB3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</w:p>
          <w:p w14:paraId="59BEC83A" w14:textId="77777777" w:rsidR="003C3DB3" w:rsidRPr="008A58FE" w:rsidRDefault="003C3DB3" w:rsidP="003C3DB3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  <w:r w:rsidRPr="008A58FE">
              <w:rPr>
                <w:rFonts w:ascii="AkzidenzGrotesk" w:hAnsi="AkzidenzGrotesk" w:cs="Arial"/>
                <w:szCs w:val="20"/>
              </w:rPr>
              <w:t>Instituto de Transparencia y Acceso a la Información Pública de Tabasco.</w:t>
            </w:r>
          </w:p>
          <w:p w14:paraId="6BF3BA6F" w14:textId="4D494D38" w:rsidR="003C3DB3" w:rsidRPr="008A58FE" w:rsidRDefault="003C3DB3" w:rsidP="003C3DB3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 w:val="restar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0441343" w14:textId="0DD517DA" w:rsidR="003C3DB3" w:rsidRPr="008A58FE" w:rsidRDefault="008A58FE" w:rsidP="003C3DB3">
            <w:pPr>
              <w:pStyle w:val="TableParagraph"/>
              <w:spacing w:before="64" w:line="312" w:lineRule="auto"/>
              <w:ind w:left="31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El cumplimiento de lo establecido en los artículos 67, 68, 69 y 70, 77, 78 y 79 del Reglamento de la Administración Pública del Municipio de Centro, 4, 5, 6, 7, 8, 12, 13, 14,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lastRenderedPageBreak/>
              <w:t>19, 20, 21, 23, 24, 25, 26, 47, 48, 49,50, 51, 52, 76, 77, 78, de la Ley de Transparencia y Acceso a la Información Pública del Estado de Tabasco; los artículos 21, 22, 23 y 24 del Reglamento de Transparencia y Acceso a la Información Pública de Centro, Tabasco;</w:t>
            </w:r>
          </w:p>
        </w:tc>
      </w:tr>
      <w:tr w:rsidR="003C3DB3" w:rsidRPr="008A58FE" w14:paraId="333B4873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71436A9" w14:textId="77777777" w:rsidR="003C3DB3" w:rsidRPr="008A58FE" w:rsidRDefault="003C3DB3" w:rsidP="003C3DB3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  <w:r w:rsidRPr="008A58FE">
              <w:rPr>
                <w:rFonts w:ascii="AkzidenzGrotesk" w:hAnsi="AkzidenzGrotesk" w:cs="Arial"/>
                <w:szCs w:val="20"/>
              </w:rPr>
              <w:lastRenderedPageBreak/>
              <w:t>Instituto Nacional de Transparencia, Acceso a la Información y Protección de Datos Personales.</w:t>
            </w:r>
          </w:p>
          <w:p w14:paraId="4C043186" w14:textId="76A4C528" w:rsidR="003C3DB3" w:rsidRPr="008A58FE" w:rsidRDefault="003C3DB3" w:rsidP="003C3DB3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7ECD1D9" w14:textId="4A9C2A6E" w:rsidR="003C3DB3" w:rsidRPr="008A58FE" w:rsidRDefault="003C3DB3" w:rsidP="003C3DB3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5E4467" w:rsidRPr="008A58FE" w14:paraId="488E1643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A669D3F" w14:textId="06B8FD55" w:rsidR="005E4467" w:rsidRPr="008A58FE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DAB1D41" w14:textId="0DDEE571" w:rsidR="005E4467" w:rsidRPr="008A58FE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</w:tbl>
    <w:p w14:paraId="5E4D4258" w14:textId="77777777" w:rsidR="00570CE1" w:rsidRPr="008A58FE" w:rsidRDefault="00570CE1" w:rsidP="00570CE1">
      <w:pPr>
        <w:rPr>
          <w:rFonts w:ascii="AkzidenzGrotesk" w:hAnsi="AkzidenzGrotesk" w:cs="Arial"/>
          <w:sz w:val="24"/>
        </w:rPr>
      </w:pPr>
    </w:p>
    <w:p w14:paraId="54F700A9" w14:textId="77777777" w:rsidR="00570CE1" w:rsidRPr="008A58FE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8A58FE">
        <w:rPr>
          <w:rFonts w:ascii="AkzidenzGrotesk" w:hAnsi="AkzidenzGrotesk"/>
          <w:bCs/>
          <w:color w:val="262626" w:themeColor="text1" w:themeTint="D9"/>
        </w:rPr>
        <w:t>Descripción de las Funciones del Puesto</w:t>
      </w:r>
    </w:p>
    <w:p w14:paraId="73D26A63" w14:textId="77777777" w:rsidR="00570CE1" w:rsidRPr="008A58FE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8A58FE" w14:paraId="3479FDFF" w14:textId="77777777" w:rsidTr="005A497A">
        <w:trPr>
          <w:trHeight w:val="153"/>
        </w:trPr>
        <w:tc>
          <w:tcPr>
            <w:tcW w:w="5000" w:type="pct"/>
            <w:tcBorders>
              <w:bottom w:val="single" w:sz="2" w:space="0" w:color="FFFFFF" w:themeColor="background1"/>
            </w:tcBorders>
            <w:shd w:val="clear" w:color="auto" w:fill="990000"/>
            <w:vAlign w:val="center"/>
            <w:hideMark/>
          </w:tcPr>
          <w:p w14:paraId="22E1334E" w14:textId="77777777" w:rsidR="00570CE1" w:rsidRPr="008A58FE" w:rsidRDefault="00570CE1" w:rsidP="00775E78">
            <w:pPr>
              <w:jc w:val="center"/>
              <w:rPr>
                <w:rFonts w:ascii="AkzidenzGrotesk" w:hAnsi="AkzidenzGrotesk" w:cs="Arial"/>
                <w:bCs/>
                <w:szCs w:val="20"/>
              </w:rPr>
            </w:pPr>
            <w:r w:rsidRPr="008A58FE">
              <w:rPr>
                <w:rFonts w:ascii="AkzidenzGrotesk" w:hAnsi="AkzidenzGrotesk" w:cs="Arial"/>
                <w:bCs/>
                <w:szCs w:val="20"/>
              </w:rPr>
              <w:t>Descripción Genérica</w:t>
            </w:r>
          </w:p>
        </w:tc>
      </w:tr>
      <w:tr w:rsidR="00570CE1" w:rsidRPr="008A58FE" w14:paraId="13835E33" w14:textId="77777777" w:rsidTr="005A497A">
        <w:trPr>
          <w:trHeight w:val="1028"/>
        </w:trPr>
        <w:tc>
          <w:tcPr>
            <w:tcW w:w="5000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4711DE20" w14:textId="2178C927" w:rsidR="00570CE1" w:rsidRPr="008A58FE" w:rsidRDefault="008A58FE" w:rsidP="00775E78">
            <w:pPr>
              <w:rPr>
                <w:rFonts w:ascii="AkzidenzGrotesk" w:hAnsi="AkzidenzGrotesk" w:cs="Arial"/>
                <w:color w:val="262626" w:themeColor="text1" w:themeTint="D9"/>
                <w:szCs w:val="20"/>
              </w:rPr>
            </w:pPr>
            <w:r w:rsidRPr="008A58FE">
              <w:rPr>
                <w:rFonts w:ascii="AkzidenzGrotesk" w:hAnsi="AkzidenzGrotesk" w:cs="Arial"/>
                <w:szCs w:val="20"/>
              </w:rPr>
              <w:t>Ordenar y clasificar el archivo de expedientes, generar las estadísticas que se requieran y efectuar el resguardo de la información a través de medios y herramientas informáticas que den seguridad y soporte a los procesos de la Coordinación.</w:t>
            </w:r>
          </w:p>
        </w:tc>
      </w:tr>
    </w:tbl>
    <w:p w14:paraId="31C18592" w14:textId="77777777" w:rsidR="00570CE1" w:rsidRPr="008A58FE" w:rsidRDefault="00570CE1" w:rsidP="00570CE1">
      <w:pPr>
        <w:rPr>
          <w:rFonts w:ascii="AkzidenzGrotesk" w:hAnsi="AkzidenzGrotesk" w:cs="Arial"/>
          <w:szCs w:val="20"/>
        </w:rPr>
      </w:pPr>
    </w:p>
    <w:p w14:paraId="795242DF" w14:textId="63DC6B0E" w:rsidR="005E4467" w:rsidRPr="008A58FE" w:rsidRDefault="005E4467" w:rsidP="00570CE1">
      <w:pPr>
        <w:rPr>
          <w:rFonts w:ascii="AkzidenzGrotesk" w:hAnsi="AkzidenzGrotesk" w:cs="Arial"/>
          <w:szCs w:val="20"/>
        </w:rPr>
      </w:pPr>
    </w:p>
    <w:p w14:paraId="1A03F6A4" w14:textId="77777777" w:rsidR="005E4467" w:rsidRPr="008A58FE" w:rsidRDefault="005E4467" w:rsidP="00570CE1">
      <w:pPr>
        <w:rPr>
          <w:rFonts w:ascii="AkzidenzGrotesk" w:hAnsi="AkzidenzGrotesk" w:cs="Arial"/>
          <w:szCs w:val="20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8A58FE" w14:paraId="0FCDF5F2" w14:textId="77777777" w:rsidTr="005A497A">
        <w:trPr>
          <w:trHeight w:val="440"/>
        </w:trPr>
        <w:tc>
          <w:tcPr>
            <w:tcW w:w="5000" w:type="pct"/>
            <w:tcBorders>
              <w:bottom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7C0CBD7A" w14:textId="7D8584BF" w:rsidR="00570CE1" w:rsidRPr="008A58FE" w:rsidRDefault="001D2A04" w:rsidP="00775E78">
            <w:pPr>
              <w:jc w:val="center"/>
              <w:rPr>
                <w:rFonts w:ascii="AkzidenzGrotesk" w:hAnsi="AkzidenzGrotesk" w:cs="Arial"/>
                <w:b/>
                <w:szCs w:val="20"/>
              </w:rPr>
            </w:pPr>
            <w:r w:rsidRPr="008A58FE">
              <w:rPr>
                <w:rFonts w:ascii="AkzidenzGrotesk" w:hAnsi="AkzidenzGrotesk" w:cs="Arial"/>
                <w:b/>
                <w:szCs w:val="20"/>
              </w:rPr>
              <w:t>Descripción E</w:t>
            </w:r>
            <w:r w:rsidR="00570CE1" w:rsidRPr="008A58FE">
              <w:rPr>
                <w:rFonts w:ascii="AkzidenzGrotesk" w:hAnsi="AkzidenzGrotesk" w:cs="Arial"/>
                <w:b/>
                <w:szCs w:val="20"/>
              </w:rPr>
              <w:t>specífica</w:t>
            </w:r>
          </w:p>
        </w:tc>
      </w:tr>
      <w:tr w:rsidR="00570CE1" w:rsidRPr="008A58FE" w14:paraId="67666D4E" w14:textId="77777777" w:rsidTr="008A58FE">
        <w:trPr>
          <w:trHeight w:val="1833"/>
        </w:trPr>
        <w:tc>
          <w:tcPr>
            <w:tcW w:w="500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A803AC4" w14:textId="77777777" w:rsidR="008A58FE" w:rsidRPr="008A58FE" w:rsidRDefault="008A58FE" w:rsidP="008A58FE">
            <w:pPr>
              <w:pStyle w:val="TableParagraph"/>
              <w:numPr>
                <w:ilvl w:val="0"/>
                <w:numId w:val="36"/>
              </w:numPr>
              <w:spacing w:before="55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Planear, programar, organizar, controlar y dirigir las actividades de su Departamento, conforme a las disposiciones legales y reglamentarias de la</w:t>
            </w:r>
            <w:r w:rsidRPr="008A58FE">
              <w:rPr>
                <w:rFonts w:ascii="AkzidenzGrotesk" w:hAnsi="AkzidenzGrotesk"/>
                <w:spacing w:val="-39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materia;</w:t>
            </w:r>
          </w:p>
          <w:p w14:paraId="445B2FC5" w14:textId="77777777" w:rsidR="008A58FE" w:rsidRPr="008A58FE" w:rsidRDefault="008A58FE" w:rsidP="008A58FE">
            <w:pPr>
              <w:pStyle w:val="TableParagraph"/>
              <w:numPr>
                <w:ilvl w:val="0"/>
                <w:numId w:val="36"/>
              </w:numPr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Elaborar y tramitar los informes estadísticos mensuales, trimestrales, semestrales y anuales relacionados con la COTAIP requeridos por las Dependencias del Sujeto Obligado, así como por el Órgano Garante</w:t>
            </w:r>
            <w:r w:rsidRPr="008A58FE">
              <w:rPr>
                <w:rFonts w:ascii="AkzidenzGrotesk" w:hAnsi="AkzidenzGrotesk"/>
                <w:spacing w:val="-12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ITAIP;</w:t>
            </w:r>
          </w:p>
          <w:p w14:paraId="794465BD" w14:textId="77777777" w:rsidR="008A58FE" w:rsidRPr="008A58FE" w:rsidRDefault="008A58FE" w:rsidP="008A58FE">
            <w:pPr>
              <w:pStyle w:val="TableParagraph"/>
              <w:numPr>
                <w:ilvl w:val="0"/>
                <w:numId w:val="36"/>
              </w:numPr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Efectuar el correcto y oportuno resguardo de la información, a través de los medios y herramientas informáticos que permitan dar seguridad a las bases de datos y a </w:t>
            </w:r>
            <w:proofErr w:type="gramStart"/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los  procesos</w:t>
            </w:r>
            <w:proofErr w:type="gramEnd"/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de la</w:t>
            </w:r>
            <w:r w:rsidRPr="008A58FE">
              <w:rPr>
                <w:rFonts w:ascii="AkzidenzGrotesk" w:hAnsi="AkzidenzGrotesk"/>
                <w:spacing w:val="-16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Coordinación;</w:t>
            </w:r>
          </w:p>
          <w:p w14:paraId="5000074F" w14:textId="77777777" w:rsidR="008A58FE" w:rsidRPr="008A58FE" w:rsidRDefault="008A58FE" w:rsidP="008A58FE">
            <w:pPr>
              <w:pStyle w:val="TableParagraph"/>
              <w:numPr>
                <w:ilvl w:val="0"/>
                <w:numId w:val="36"/>
              </w:numPr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Diseñar un mecanismo de control y seguimiento permanente que permita brindar </w:t>
            </w:r>
            <w:proofErr w:type="gramStart"/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la  atención</w:t>
            </w:r>
            <w:proofErr w:type="gramEnd"/>
            <w:r w:rsidRPr="008A58FE">
              <w:rPr>
                <w:rFonts w:ascii="AkzidenzGrotesk" w:hAnsi="AkzidenzGrotesk"/>
                <w:spacing w:val="-3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a</w:t>
            </w:r>
            <w:r w:rsidRPr="008A58FE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las</w:t>
            </w:r>
            <w:r w:rsidRPr="008A58FE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solicitudes</w:t>
            </w:r>
            <w:r w:rsidRPr="008A58FE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de</w:t>
            </w:r>
            <w:r w:rsidRPr="008A58FE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información</w:t>
            </w:r>
            <w:r w:rsidRPr="008A58FE">
              <w:rPr>
                <w:rFonts w:ascii="AkzidenzGrotesk" w:hAnsi="AkzidenzGrotesk"/>
                <w:spacing w:val="-3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dentro</w:t>
            </w:r>
            <w:r w:rsidRPr="008A58FE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de</w:t>
            </w:r>
            <w:r w:rsidRPr="008A58FE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los</w:t>
            </w:r>
            <w:r w:rsidRPr="008A58FE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plazos</w:t>
            </w:r>
            <w:r w:rsidRPr="008A58FE">
              <w:rPr>
                <w:rFonts w:ascii="AkzidenzGrotesk" w:hAnsi="AkzidenzGrotesk"/>
                <w:spacing w:val="-1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establecidos</w:t>
            </w:r>
            <w:r w:rsidRPr="008A58FE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en</w:t>
            </w:r>
            <w:r w:rsidRPr="008A58FE">
              <w:rPr>
                <w:rFonts w:ascii="AkzidenzGrotesk" w:hAnsi="AkzidenzGrotesk"/>
                <w:spacing w:val="-3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la</w:t>
            </w:r>
            <w:r w:rsidRPr="008A58FE">
              <w:rPr>
                <w:rFonts w:ascii="AkzidenzGrotesk" w:hAnsi="AkzidenzGrotesk"/>
                <w:spacing w:val="-3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ley;</w:t>
            </w:r>
          </w:p>
          <w:p w14:paraId="2C254116" w14:textId="77777777" w:rsidR="008A58FE" w:rsidRPr="008A58FE" w:rsidRDefault="008A58FE" w:rsidP="008A58FE">
            <w:pPr>
              <w:pStyle w:val="TableParagraph"/>
              <w:numPr>
                <w:ilvl w:val="0"/>
                <w:numId w:val="36"/>
              </w:numPr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Generar los Hipervínculos solicitados por las dependencias del Ayuntamiento de Centro para la publicación de obligaciones de Transparencia e información en general requeridas por las disposiciones legales y normativas de la materia e informar a las dependencias sobre su</w:t>
            </w:r>
            <w:r w:rsidRPr="008A58FE">
              <w:rPr>
                <w:rFonts w:ascii="AkzidenzGrotesk" w:hAnsi="AkzidenzGrotesk"/>
                <w:spacing w:val="-11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atención;</w:t>
            </w:r>
          </w:p>
          <w:p w14:paraId="2C3EA53C" w14:textId="77777777" w:rsidR="008A58FE" w:rsidRPr="008A58FE" w:rsidRDefault="008A58FE" w:rsidP="008A58FE">
            <w:pPr>
              <w:pStyle w:val="TableParagraph"/>
              <w:numPr>
                <w:ilvl w:val="0"/>
                <w:numId w:val="36"/>
              </w:numPr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Verificará la debida publicación de los acuerdos, sus anexos, así como los estrados electrónicos por medio de los cuales se brinda atención a las solicitudes de información, a través de la Plataforma Nacional de Transparencia y/o Sistema</w:t>
            </w:r>
            <w:r w:rsidRPr="008A58FE">
              <w:rPr>
                <w:rFonts w:ascii="AkzidenzGrotesk" w:hAnsi="AkzidenzGrotesk"/>
                <w:spacing w:val="-34"/>
                <w:sz w:val="20"/>
                <w:szCs w:val="20"/>
                <w:lang w:val="es-ES"/>
              </w:rPr>
              <w:t xml:space="preserve"> </w:t>
            </w:r>
            <w:r w:rsidRPr="008A58FE">
              <w:rPr>
                <w:rFonts w:ascii="AkzidenzGrotesk" w:hAnsi="AkzidenzGrotesk"/>
                <w:sz w:val="20"/>
                <w:szCs w:val="20"/>
                <w:lang w:val="es-ES"/>
              </w:rPr>
              <w:t>Infomex;</w:t>
            </w:r>
          </w:p>
          <w:p w14:paraId="7A55CA22" w14:textId="77777777" w:rsidR="008A58FE" w:rsidRPr="008A58FE" w:rsidRDefault="008A58FE" w:rsidP="008A58FE">
            <w:pPr>
              <w:pStyle w:val="Prrafodelista"/>
              <w:numPr>
                <w:ilvl w:val="0"/>
                <w:numId w:val="36"/>
              </w:numPr>
              <w:spacing w:before="71"/>
              <w:rPr>
                <w:rFonts w:ascii="AkzidenzGrotesk" w:hAnsi="AkzidenzGrotesk" w:cs="Arial"/>
                <w:szCs w:val="20"/>
              </w:rPr>
            </w:pPr>
            <w:r w:rsidRPr="008A58FE">
              <w:rPr>
                <w:rFonts w:ascii="AkzidenzGrotesk" w:hAnsi="AkzidenzGrotesk" w:cs="Arial"/>
                <w:szCs w:val="20"/>
              </w:rPr>
              <w:t xml:space="preserve">Supervisar que las Dependencias de este Sujeto Obligado cumplan con la publicación </w:t>
            </w:r>
            <w:proofErr w:type="gramStart"/>
            <w:r w:rsidRPr="008A58FE">
              <w:rPr>
                <w:rFonts w:ascii="AkzidenzGrotesk" w:hAnsi="AkzidenzGrotesk" w:cs="Arial"/>
                <w:szCs w:val="20"/>
              </w:rPr>
              <w:t>de  las</w:t>
            </w:r>
            <w:proofErr w:type="gramEnd"/>
            <w:r w:rsidRPr="008A58FE">
              <w:rPr>
                <w:rFonts w:ascii="AkzidenzGrotesk" w:hAnsi="AkzidenzGrotesk" w:cs="Arial"/>
                <w:szCs w:val="20"/>
              </w:rPr>
              <w:t xml:space="preserve">  Obligaciones  de  Transparencia  e  información  de  interés  general  en  el  Portal   </w:t>
            </w:r>
            <w:r w:rsidRPr="008A58FE">
              <w:rPr>
                <w:rFonts w:ascii="AkzidenzGrotesk" w:hAnsi="AkzidenzGrotesk" w:cs="Arial"/>
                <w:spacing w:val="6"/>
                <w:szCs w:val="20"/>
              </w:rPr>
              <w:t xml:space="preserve"> </w:t>
            </w:r>
            <w:r w:rsidRPr="008A58FE">
              <w:rPr>
                <w:rFonts w:ascii="AkzidenzGrotesk" w:hAnsi="AkzidenzGrotesk" w:cs="Arial"/>
                <w:szCs w:val="20"/>
              </w:rPr>
              <w:t>del Ayuntamiento de Centro, así como en la Plataforma Nacional de Transparencia, dentro de los plazos establecidos en la ley, e informar a su superior jerárquico sobre los incumplimientos y/</w:t>
            </w:r>
            <w:proofErr w:type="spellStart"/>
            <w:r w:rsidRPr="008A58FE">
              <w:rPr>
                <w:rFonts w:ascii="AkzidenzGrotesk" w:hAnsi="AkzidenzGrotesk" w:cs="Arial"/>
                <w:szCs w:val="20"/>
              </w:rPr>
              <w:t>o</w:t>
            </w:r>
            <w:proofErr w:type="spellEnd"/>
            <w:r w:rsidRPr="008A58FE">
              <w:rPr>
                <w:rFonts w:ascii="AkzidenzGrotesk" w:hAnsi="AkzidenzGrotesk" w:cs="Arial"/>
                <w:szCs w:val="20"/>
              </w:rPr>
              <w:t xml:space="preserve"> omisiones identificadas.</w:t>
            </w:r>
          </w:p>
          <w:p w14:paraId="4838644D" w14:textId="77777777" w:rsidR="008A58FE" w:rsidRPr="008A58FE" w:rsidRDefault="008A58FE" w:rsidP="008A58FE">
            <w:pPr>
              <w:pStyle w:val="Prrafodelista"/>
              <w:widowControl w:val="0"/>
              <w:numPr>
                <w:ilvl w:val="0"/>
                <w:numId w:val="36"/>
              </w:numPr>
              <w:autoSpaceDE w:val="0"/>
              <w:autoSpaceDN w:val="0"/>
              <w:rPr>
                <w:rFonts w:ascii="AkzidenzGrotesk" w:hAnsi="AkzidenzGrotesk" w:cs="Arial"/>
                <w:szCs w:val="20"/>
              </w:rPr>
            </w:pPr>
            <w:r w:rsidRPr="008A58FE">
              <w:rPr>
                <w:rFonts w:ascii="AkzidenzGrotesk" w:hAnsi="AkzidenzGrotesk" w:cs="Arial"/>
                <w:szCs w:val="20"/>
              </w:rPr>
              <w:t xml:space="preserve">Operará y administrará la Plataforma Nacional de transparencia y/o Sistema Infomex </w:t>
            </w:r>
            <w:proofErr w:type="gramStart"/>
            <w:r w:rsidRPr="008A58FE">
              <w:rPr>
                <w:rFonts w:ascii="AkzidenzGrotesk" w:hAnsi="AkzidenzGrotesk" w:cs="Arial"/>
                <w:szCs w:val="20"/>
              </w:rPr>
              <w:t>para  la</w:t>
            </w:r>
            <w:proofErr w:type="gramEnd"/>
            <w:r w:rsidRPr="008A58FE">
              <w:rPr>
                <w:rFonts w:ascii="AkzidenzGrotesk" w:hAnsi="AkzidenzGrotesk" w:cs="Arial"/>
                <w:szCs w:val="20"/>
              </w:rPr>
              <w:t xml:space="preserve"> recepción y despacho de las solicitudes de acceso a la información,  generando  la caratula del expediente para turnarlo al área jurídica para su</w:t>
            </w:r>
            <w:r w:rsidRPr="008A58FE">
              <w:rPr>
                <w:rFonts w:ascii="AkzidenzGrotesk" w:hAnsi="AkzidenzGrotesk" w:cs="Arial"/>
                <w:spacing w:val="-36"/>
                <w:szCs w:val="20"/>
              </w:rPr>
              <w:t xml:space="preserve"> </w:t>
            </w:r>
            <w:r w:rsidRPr="008A58FE">
              <w:rPr>
                <w:rFonts w:ascii="AkzidenzGrotesk" w:hAnsi="AkzidenzGrotesk" w:cs="Arial"/>
                <w:szCs w:val="20"/>
              </w:rPr>
              <w:t>atención;</w:t>
            </w:r>
          </w:p>
          <w:p w14:paraId="366CB1D1" w14:textId="77777777" w:rsidR="008A58FE" w:rsidRPr="008A58FE" w:rsidRDefault="008A58FE" w:rsidP="008A58FE">
            <w:pPr>
              <w:pStyle w:val="Prrafodelista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3"/>
              <w:rPr>
                <w:rFonts w:ascii="AkzidenzGrotesk" w:hAnsi="AkzidenzGrotesk" w:cs="Arial"/>
                <w:szCs w:val="20"/>
              </w:rPr>
            </w:pPr>
            <w:r w:rsidRPr="008A58FE">
              <w:rPr>
                <w:rFonts w:ascii="AkzidenzGrotesk" w:hAnsi="AkzidenzGrotesk" w:cs="Arial"/>
                <w:szCs w:val="20"/>
              </w:rPr>
              <w:t>Coordinará y vigilará que los Enlaces de Transparencia publiquen y actualicen la información de las obligaciones de transparencia e información en general en la Plataforma Nacional</w:t>
            </w:r>
            <w:r w:rsidRPr="008A58FE">
              <w:rPr>
                <w:rFonts w:ascii="AkzidenzGrotesk" w:hAnsi="AkzidenzGrotesk" w:cs="Arial"/>
                <w:spacing w:val="-4"/>
                <w:szCs w:val="20"/>
              </w:rPr>
              <w:t xml:space="preserve"> </w:t>
            </w:r>
            <w:r w:rsidRPr="008A58FE">
              <w:rPr>
                <w:rFonts w:ascii="AkzidenzGrotesk" w:hAnsi="AkzidenzGrotesk" w:cs="Arial"/>
                <w:szCs w:val="20"/>
              </w:rPr>
              <w:t>de</w:t>
            </w:r>
            <w:r w:rsidRPr="008A58FE">
              <w:rPr>
                <w:rFonts w:ascii="AkzidenzGrotesk" w:hAnsi="AkzidenzGrotesk" w:cs="Arial"/>
                <w:spacing w:val="-5"/>
                <w:szCs w:val="20"/>
              </w:rPr>
              <w:t xml:space="preserve"> </w:t>
            </w:r>
            <w:r w:rsidRPr="008A58FE">
              <w:rPr>
                <w:rFonts w:ascii="AkzidenzGrotesk" w:hAnsi="AkzidenzGrotesk" w:cs="Arial"/>
                <w:szCs w:val="20"/>
              </w:rPr>
              <w:t>Transparencia</w:t>
            </w:r>
            <w:r w:rsidRPr="008A58FE">
              <w:rPr>
                <w:rFonts w:ascii="AkzidenzGrotesk" w:hAnsi="AkzidenzGrotesk" w:cs="Arial"/>
                <w:spacing w:val="-3"/>
                <w:szCs w:val="20"/>
              </w:rPr>
              <w:t xml:space="preserve"> </w:t>
            </w:r>
            <w:r w:rsidRPr="008A58FE">
              <w:rPr>
                <w:rFonts w:ascii="AkzidenzGrotesk" w:hAnsi="AkzidenzGrotesk" w:cs="Arial"/>
                <w:szCs w:val="20"/>
              </w:rPr>
              <w:t>en</w:t>
            </w:r>
            <w:r w:rsidRPr="008A58FE">
              <w:rPr>
                <w:rFonts w:ascii="AkzidenzGrotesk" w:hAnsi="AkzidenzGrotesk" w:cs="Arial"/>
                <w:spacing w:val="-5"/>
                <w:szCs w:val="20"/>
              </w:rPr>
              <w:t xml:space="preserve"> </w:t>
            </w:r>
            <w:r w:rsidRPr="008A58FE">
              <w:rPr>
                <w:rFonts w:ascii="AkzidenzGrotesk" w:hAnsi="AkzidenzGrotesk" w:cs="Arial"/>
                <w:szCs w:val="20"/>
              </w:rPr>
              <w:t>los</w:t>
            </w:r>
            <w:r w:rsidRPr="008A58FE">
              <w:rPr>
                <w:rFonts w:ascii="AkzidenzGrotesk" w:hAnsi="AkzidenzGrotesk" w:cs="Arial"/>
                <w:spacing w:val="-4"/>
                <w:szCs w:val="20"/>
              </w:rPr>
              <w:t xml:space="preserve"> </w:t>
            </w:r>
            <w:r w:rsidRPr="008A58FE">
              <w:rPr>
                <w:rFonts w:ascii="AkzidenzGrotesk" w:hAnsi="AkzidenzGrotesk" w:cs="Arial"/>
                <w:szCs w:val="20"/>
              </w:rPr>
              <w:t>términos</w:t>
            </w:r>
            <w:r w:rsidRPr="008A58FE">
              <w:rPr>
                <w:rFonts w:ascii="AkzidenzGrotesk" w:hAnsi="AkzidenzGrotesk" w:cs="Arial"/>
                <w:spacing w:val="-4"/>
                <w:szCs w:val="20"/>
              </w:rPr>
              <w:t xml:space="preserve"> </w:t>
            </w:r>
            <w:r w:rsidRPr="008A58FE">
              <w:rPr>
                <w:rFonts w:ascii="AkzidenzGrotesk" w:hAnsi="AkzidenzGrotesk" w:cs="Arial"/>
                <w:szCs w:val="20"/>
              </w:rPr>
              <w:t>y</w:t>
            </w:r>
            <w:r w:rsidRPr="008A58FE">
              <w:rPr>
                <w:rFonts w:ascii="AkzidenzGrotesk" w:hAnsi="AkzidenzGrotesk" w:cs="Arial"/>
                <w:spacing w:val="-4"/>
                <w:szCs w:val="20"/>
              </w:rPr>
              <w:t xml:space="preserve"> </w:t>
            </w:r>
            <w:r w:rsidRPr="008A58FE">
              <w:rPr>
                <w:rFonts w:ascii="AkzidenzGrotesk" w:hAnsi="AkzidenzGrotesk" w:cs="Arial"/>
                <w:szCs w:val="20"/>
              </w:rPr>
              <w:t>plazos</w:t>
            </w:r>
            <w:r w:rsidRPr="008A58FE">
              <w:rPr>
                <w:rFonts w:ascii="AkzidenzGrotesk" w:hAnsi="AkzidenzGrotesk" w:cs="Arial"/>
                <w:spacing w:val="-4"/>
                <w:szCs w:val="20"/>
              </w:rPr>
              <w:t xml:space="preserve"> </w:t>
            </w:r>
            <w:r w:rsidRPr="008A58FE">
              <w:rPr>
                <w:rFonts w:ascii="AkzidenzGrotesk" w:hAnsi="AkzidenzGrotesk" w:cs="Arial"/>
                <w:szCs w:val="20"/>
              </w:rPr>
              <w:t>establecidos</w:t>
            </w:r>
            <w:r w:rsidRPr="008A58FE">
              <w:rPr>
                <w:rFonts w:ascii="AkzidenzGrotesk" w:hAnsi="AkzidenzGrotesk" w:cs="Arial"/>
                <w:spacing w:val="-4"/>
                <w:szCs w:val="20"/>
              </w:rPr>
              <w:t xml:space="preserve"> </w:t>
            </w:r>
            <w:r w:rsidRPr="008A58FE">
              <w:rPr>
                <w:rFonts w:ascii="AkzidenzGrotesk" w:hAnsi="AkzidenzGrotesk" w:cs="Arial"/>
                <w:szCs w:val="20"/>
              </w:rPr>
              <w:t>por</w:t>
            </w:r>
            <w:r w:rsidRPr="008A58FE">
              <w:rPr>
                <w:rFonts w:ascii="AkzidenzGrotesk" w:hAnsi="AkzidenzGrotesk" w:cs="Arial"/>
                <w:spacing w:val="-3"/>
                <w:szCs w:val="20"/>
              </w:rPr>
              <w:t xml:space="preserve"> </w:t>
            </w:r>
            <w:r w:rsidRPr="008A58FE">
              <w:rPr>
                <w:rFonts w:ascii="AkzidenzGrotesk" w:hAnsi="AkzidenzGrotesk" w:cs="Arial"/>
                <w:szCs w:val="20"/>
              </w:rPr>
              <w:t>la</w:t>
            </w:r>
            <w:r w:rsidRPr="008A58FE">
              <w:rPr>
                <w:rFonts w:ascii="AkzidenzGrotesk" w:hAnsi="AkzidenzGrotesk" w:cs="Arial"/>
                <w:spacing w:val="-3"/>
                <w:szCs w:val="20"/>
              </w:rPr>
              <w:t xml:space="preserve"> </w:t>
            </w:r>
            <w:r w:rsidRPr="008A58FE">
              <w:rPr>
                <w:rFonts w:ascii="AkzidenzGrotesk" w:hAnsi="AkzidenzGrotesk" w:cs="Arial"/>
                <w:szCs w:val="20"/>
              </w:rPr>
              <w:t>ley</w:t>
            </w:r>
          </w:p>
          <w:p w14:paraId="56B48BDC" w14:textId="02EE8296" w:rsidR="00570CE1" w:rsidRPr="008A58FE" w:rsidRDefault="008A58FE" w:rsidP="008A58FE">
            <w:pPr>
              <w:pStyle w:val="TableParagraph"/>
              <w:numPr>
                <w:ilvl w:val="0"/>
                <w:numId w:val="36"/>
              </w:numPr>
              <w:spacing w:before="33" w:line="271" w:lineRule="auto"/>
              <w:ind w:right="104"/>
              <w:jc w:val="both"/>
              <w:rPr>
                <w:rFonts w:ascii="AkzidenzGrotesk" w:hAnsi="AkzidenzGrotesk"/>
                <w:sz w:val="20"/>
                <w:szCs w:val="20"/>
                <w:lang w:val="es-MX"/>
              </w:rPr>
            </w:pPr>
            <w:r w:rsidRPr="008A58FE">
              <w:rPr>
                <w:rFonts w:ascii="AkzidenzGrotesk" w:hAnsi="AkzidenzGrotesk"/>
                <w:sz w:val="20"/>
                <w:szCs w:val="20"/>
                <w:lang w:val="es-MX"/>
              </w:rPr>
              <w:lastRenderedPageBreak/>
              <w:t>Vincularse y coordinarse con el Departamento Jurídico, para el seguimiento y actualización de los índices de los documentos clasificados como reservados, en los términos y plazos establecidos en la Ley y en los Lineamientos Generales en materia de clasificación y desclasificación de la información, así como para la elaboración de versiones públicas;</w:t>
            </w:r>
          </w:p>
        </w:tc>
      </w:tr>
    </w:tbl>
    <w:p w14:paraId="11975F6E" w14:textId="281C372A" w:rsidR="00AC24E0" w:rsidRPr="008A58FE" w:rsidRDefault="00AC24E0" w:rsidP="00570CE1">
      <w:pPr>
        <w:pStyle w:val="MTexto"/>
        <w:rPr>
          <w:rFonts w:ascii="AkzidenzGrotesk" w:hAnsi="AkzidenzGrotesk"/>
          <w:b/>
        </w:rPr>
      </w:pPr>
      <w:bookmarkStart w:id="1" w:name="_GoBack"/>
      <w:bookmarkEnd w:id="1"/>
    </w:p>
    <w:p w14:paraId="5D7D1EE6" w14:textId="77777777" w:rsidR="008A58FE" w:rsidRPr="008A58FE" w:rsidRDefault="008A58FE" w:rsidP="008A58FE">
      <w:pPr>
        <w:rPr>
          <w:rFonts w:ascii="AkzidenzGrotesk" w:hAnsi="AkzidenzGrotesk"/>
        </w:rPr>
      </w:pPr>
    </w:p>
    <w:p w14:paraId="3E128553" w14:textId="4AF41A07" w:rsidR="00570CE1" w:rsidRPr="008A58FE" w:rsidRDefault="00570CE1" w:rsidP="00570CE1">
      <w:pPr>
        <w:pStyle w:val="MTexto"/>
        <w:rPr>
          <w:rFonts w:ascii="AkzidenzGrotesk" w:hAnsi="AkzidenzGrotesk"/>
          <w:b/>
        </w:rPr>
      </w:pPr>
      <w:r w:rsidRPr="008A58FE">
        <w:rPr>
          <w:rFonts w:ascii="AkzidenzGrotesk" w:hAnsi="AkzidenzGrotesk"/>
          <w:b/>
        </w:rPr>
        <w:t xml:space="preserve">Perfil del </w:t>
      </w:r>
      <w:proofErr w:type="gramStart"/>
      <w:r w:rsidRPr="008A58FE">
        <w:rPr>
          <w:rFonts w:ascii="AkzidenzGrotesk" w:hAnsi="AkzidenzGrotesk"/>
          <w:b/>
        </w:rPr>
        <w:t>Responsable</w:t>
      </w:r>
      <w:proofErr w:type="gramEnd"/>
      <w:r w:rsidRPr="008A58FE">
        <w:rPr>
          <w:rFonts w:ascii="AkzidenzGrotesk" w:hAnsi="AkzidenzGrotesk"/>
          <w:b/>
        </w:rPr>
        <w:t xml:space="preserve"> del Puesto</w:t>
      </w:r>
    </w:p>
    <w:p w14:paraId="06A4581E" w14:textId="77777777" w:rsidR="00570CE1" w:rsidRPr="008A58FE" w:rsidRDefault="00570CE1" w:rsidP="00570CE1">
      <w:pPr>
        <w:rPr>
          <w:rFonts w:ascii="AkzidenzGrotesk" w:hAnsi="AkzidenzGrotesk"/>
        </w:rPr>
      </w:pP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8A58FE" w14:paraId="549B3A7C" w14:textId="77777777" w:rsidTr="004D50B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679184A9" w14:textId="77777777" w:rsidR="00570CE1" w:rsidRPr="008A58FE" w:rsidRDefault="00570CE1" w:rsidP="00A91241">
            <w:pPr>
              <w:jc w:val="center"/>
              <w:rPr>
                <w:rFonts w:ascii="AkzidenzGrotesk" w:hAnsi="AkzidenzGrotesk" w:cs="Arial"/>
                <w:b/>
              </w:rPr>
            </w:pPr>
            <w:r w:rsidRPr="008A58FE">
              <w:rPr>
                <w:rFonts w:ascii="AkzidenzGrotesk" w:hAnsi="AkzidenzGrotesk" w:cs="Arial"/>
                <w:b/>
              </w:rPr>
              <w:t>Perfil del Puesto</w:t>
            </w:r>
          </w:p>
        </w:tc>
      </w:tr>
      <w:tr w:rsidR="008A58FE" w:rsidRPr="008A58FE" w14:paraId="3B15561B" w14:textId="77777777" w:rsidTr="004D50B1">
        <w:trPr>
          <w:trHeight w:val="508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8A58FE" w:rsidRPr="008A58FE" w:rsidRDefault="008A58FE" w:rsidP="008A58FE">
            <w:pPr>
              <w:jc w:val="left"/>
              <w:rPr>
                <w:rFonts w:ascii="AkzidenzGrotesk" w:hAnsi="AkzidenzGrotesk" w:cs="Arial"/>
                <w:b/>
              </w:rPr>
            </w:pPr>
            <w:r w:rsidRPr="008A58FE">
              <w:rPr>
                <w:rFonts w:ascii="AkzidenzGrotesk" w:hAnsi="AkzidenzGrotesk"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DA05622" w14:textId="6A516354" w:rsidR="008A58FE" w:rsidRPr="008A58FE" w:rsidRDefault="008A58FE" w:rsidP="008A58FE">
            <w:pPr>
              <w:pStyle w:val="Prrafodelista"/>
              <w:numPr>
                <w:ilvl w:val="0"/>
                <w:numId w:val="48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8A58FE">
              <w:rPr>
                <w:rFonts w:ascii="AkzidenzGrotesk" w:hAnsi="AkzidenzGrotesk" w:cs="Arial"/>
                <w:bCs/>
                <w:szCs w:val="20"/>
              </w:rPr>
              <w:t>Licenciatura en Derecho y/o Administración.</w:t>
            </w:r>
          </w:p>
        </w:tc>
      </w:tr>
      <w:tr w:rsidR="008A58FE" w:rsidRPr="008A58FE" w14:paraId="02BD650D" w14:textId="77777777" w:rsidTr="004D50B1">
        <w:trPr>
          <w:trHeight w:val="402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8A58FE" w:rsidRPr="008A58FE" w:rsidRDefault="008A58FE" w:rsidP="008A58FE">
            <w:pPr>
              <w:jc w:val="left"/>
              <w:rPr>
                <w:rFonts w:ascii="AkzidenzGrotesk" w:hAnsi="AkzidenzGrotesk" w:cs="Arial"/>
                <w:b/>
              </w:rPr>
            </w:pPr>
            <w:r w:rsidRPr="008A58FE">
              <w:rPr>
                <w:rFonts w:ascii="AkzidenzGrotesk" w:hAnsi="AkzidenzGrotesk"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ECABCE5" w14:textId="2BDE0737" w:rsidR="008A58FE" w:rsidRPr="008A58FE" w:rsidRDefault="008A58FE" w:rsidP="008A58FE">
            <w:pPr>
              <w:pStyle w:val="Prrafodelista"/>
              <w:numPr>
                <w:ilvl w:val="0"/>
                <w:numId w:val="48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8A58FE">
              <w:rPr>
                <w:rFonts w:ascii="AkzidenzGrotesk" w:hAnsi="AkzidenzGrotesk" w:cs="Arial"/>
                <w:bCs/>
                <w:szCs w:val="20"/>
              </w:rPr>
              <w:t>Mínima de 2 años.</w:t>
            </w:r>
          </w:p>
        </w:tc>
      </w:tr>
      <w:tr w:rsidR="008A58FE" w:rsidRPr="008A58FE" w14:paraId="4CEBB518" w14:textId="77777777" w:rsidTr="004D50B1">
        <w:trPr>
          <w:trHeight w:val="376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8A58FE" w:rsidRPr="008A58FE" w:rsidRDefault="008A58FE" w:rsidP="008A58FE">
            <w:pPr>
              <w:jc w:val="left"/>
              <w:rPr>
                <w:rFonts w:ascii="AkzidenzGrotesk" w:hAnsi="AkzidenzGrotesk" w:cs="Arial"/>
                <w:b/>
              </w:rPr>
            </w:pPr>
            <w:r w:rsidRPr="008A58FE">
              <w:rPr>
                <w:rFonts w:ascii="AkzidenzGrotesk" w:hAnsi="AkzidenzGrotesk"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9C9F152" w14:textId="77777777" w:rsidR="008A58FE" w:rsidRPr="008A58FE" w:rsidRDefault="008A58FE" w:rsidP="008A58FE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00" w:lineRule="atLeast"/>
              <w:rPr>
                <w:rFonts w:ascii="AkzidenzGrotesk" w:hAnsi="AkzidenzGrotesk" w:cs="Arial"/>
                <w:bCs/>
                <w:szCs w:val="20"/>
              </w:rPr>
            </w:pPr>
            <w:r w:rsidRPr="008A58FE">
              <w:rPr>
                <w:rFonts w:ascii="AkzidenzGrotesk" w:hAnsi="AkzidenzGrotesk" w:cs="Arial"/>
                <w:bCs/>
                <w:szCs w:val="20"/>
              </w:rPr>
              <w:t>Derecho, Administración Pública e Informática</w:t>
            </w:r>
          </w:p>
          <w:p w14:paraId="726CA465" w14:textId="7FC7A48A" w:rsidR="008A58FE" w:rsidRPr="008A58FE" w:rsidRDefault="008A58FE" w:rsidP="008A58FE">
            <w:pPr>
              <w:pStyle w:val="Prrafodelista"/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8A58FE" w:rsidRPr="008A58FE" w14:paraId="17889B1A" w14:textId="77777777" w:rsidTr="004D50B1">
        <w:trPr>
          <w:trHeight w:val="691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8A58FE" w:rsidRPr="008A58FE" w:rsidRDefault="008A58FE" w:rsidP="008A58FE">
            <w:pPr>
              <w:jc w:val="left"/>
              <w:rPr>
                <w:rFonts w:ascii="AkzidenzGrotesk" w:hAnsi="AkzidenzGrotesk" w:cs="Arial"/>
                <w:b/>
              </w:rPr>
            </w:pPr>
            <w:r w:rsidRPr="008A58FE">
              <w:rPr>
                <w:rFonts w:ascii="AkzidenzGrotesk" w:hAnsi="AkzidenzGrotesk"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8322A2B" w14:textId="3ECC7D85" w:rsidR="008A58FE" w:rsidRPr="008A58FE" w:rsidRDefault="008A58FE" w:rsidP="008A58FE">
            <w:pPr>
              <w:pStyle w:val="Prrafodelista"/>
              <w:numPr>
                <w:ilvl w:val="0"/>
                <w:numId w:val="48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8A58FE">
              <w:rPr>
                <w:rFonts w:ascii="AkzidenzGrotesk" w:hAnsi="AkzidenzGrotesk" w:cs="Arial"/>
                <w:bCs/>
                <w:szCs w:val="20"/>
              </w:rPr>
              <w:t>Liderazgo, manejo de recursos humanos y materiales, trabajo en equipo, disciplina y relaciones humanas.</w:t>
            </w:r>
          </w:p>
        </w:tc>
      </w:tr>
    </w:tbl>
    <w:p w14:paraId="6EB2E200" w14:textId="77777777" w:rsidR="00570CE1" w:rsidRPr="008A58FE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5F95049F" w14:textId="77777777" w:rsidR="00570CE1" w:rsidRPr="008A58FE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2DF33E1" w14:textId="77777777" w:rsidR="00570CE1" w:rsidRPr="008A58FE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7D6430F" w14:textId="77777777" w:rsidR="00570CE1" w:rsidRPr="008A58FE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1D78E42" w14:textId="77777777" w:rsidR="00570CE1" w:rsidRPr="008A58FE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420A21A1" w14:textId="77777777" w:rsidR="00570CE1" w:rsidRPr="008A58FE" w:rsidRDefault="00570CE1" w:rsidP="00EA0DB3">
      <w:pPr>
        <w:rPr>
          <w:rFonts w:ascii="AkzidenzGrotesk" w:hAnsi="AkzidenzGrotesk"/>
        </w:rPr>
      </w:pPr>
    </w:p>
    <w:sectPr w:rsidR="00570CE1" w:rsidRPr="008A58FE" w:rsidSect="005E4467">
      <w:headerReference w:type="default" r:id="rId8"/>
      <w:footerReference w:type="default" r:id="rId9"/>
      <w:pgSz w:w="12242" w:h="15842" w:code="1"/>
      <w:pgMar w:top="2269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7B7A5" w14:textId="77777777" w:rsidR="001557A6" w:rsidRDefault="001557A6">
      <w:r>
        <w:separator/>
      </w:r>
    </w:p>
  </w:endnote>
  <w:endnote w:type="continuationSeparator" w:id="0">
    <w:p w14:paraId="7AD099BF" w14:textId="77777777" w:rsidR="001557A6" w:rsidRDefault="0015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">
    <w:altName w:val="Calibri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7777777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C494B">
      <w:rPr>
        <w:noProof/>
      </w:rPr>
      <w:t>1</w:t>
    </w:r>
    <w:r>
      <w:fldChar w:fldCharType="end"/>
    </w:r>
  </w:p>
  <w:p w14:paraId="40BD31CB" w14:textId="6BA4097F" w:rsidR="00EA0DB3" w:rsidRPr="00954A22" w:rsidRDefault="00EA0DB3" w:rsidP="00BA39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D776E" w14:textId="77777777" w:rsidR="001557A6" w:rsidRDefault="001557A6">
      <w:r>
        <w:separator/>
      </w:r>
    </w:p>
  </w:footnote>
  <w:footnote w:type="continuationSeparator" w:id="0">
    <w:p w14:paraId="227505B7" w14:textId="77777777" w:rsidR="001557A6" w:rsidRDefault="0015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9029ED7" w:rsidR="00EA0DB3" w:rsidRPr="00130479" w:rsidRDefault="001557A6" w:rsidP="00130479">
    <w:pPr>
      <w:pStyle w:val="Encabezado"/>
      <w:jc w:val="right"/>
      <w:rPr>
        <w:color w:val="FF0000"/>
      </w:rPr>
    </w:pPr>
    <w:r>
      <w:rPr>
        <w:noProof/>
        <w:color w:val="FF0000"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292.2pt;margin-top:-24.7pt;width:179.1pt;height:22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1B8520E2" w14:textId="69DDE03E" w:rsidR="00EA0DB3" w:rsidRPr="00A631F5" w:rsidRDefault="00395009" w:rsidP="00130479">
                <w:pPr>
                  <w:jc w:val="right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“</w:t>
                </w:r>
                <w:r w:rsidR="00A51F07" w:rsidRPr="00BC3846"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2021: Año de la Independencia</w:t>
                </w: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”.</w:t>
                </w:r>
              </w:p>
            </w:txbxContent>
          </v:textbox>
        </v:shape>
      </w:pict>
    </w:r>
    <w:r w:rsidR="00A51F07" w:rsidRPr="00130479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5DC1A633" wp14:editId="789B3B25">
          <wp:simplePos x="0" y="0"/>
          <wp:positionH relativeFrom="column">
            <wp:posOffset>-1061085</wp:posOffset>
          </wp:positionH>
          <wp:positionV relativeFrom="paragraph">
            <wp:posOffset>-881380</wp:posOffset>
          </wp:positionV>
          <wp:extent cx="7734300" cy="100088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008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479" w:rsidRPr="00130479">
      <w:rPr>
        <w:rFonts w:ascii="AkzidenzGrotesk" w:hAnsi="AkzidenzGrotesk"/>
        <w:i/>
        <w:iCs/>
        <w:color w:val="FF0000"/>
      </w:rPr>
      <w:t>2021: Año de la Independencia</w:t>
    </w:r>
    <w:r w:rsidR="00130479" w:rsidRPr="00130479">
      <w:rPr>
        <w:noProof/>
        <w:color w:val="FF0000"/>
      </w:rPr>
      <w:t xml:space="preserve"> </w:t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2038"/>
    <w:multiLevelType w:val="hybridMultilevel"/>
    <w:tmpl w:val="8EF0175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23454"/>
    <w:multiLevelType w:val="hybridMultilevel"/>
    <w:tmpl w:val="58B21B34"/>
    <w:lvl w:ilvl="0" w:tplc="080A0013">
      <w:start w:val="1"/>
      <w:numFmt w:val="upperRoman"/>
      <w:lvlText w:val="%1."/>
      <w:lvlJc w:val="right"/>
      <w:pPr>
        <w:ind w:left="823" w:hanging="360"/>
      </w:pPr>
      <w:rPr>
        <w:rFonts w:hint="default"/>
        <w:w w:val="99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9275C"/>
    <w:multiLevelType w:val="hybridMultilevel"/>
    <w:tmpl w:val="6310E13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A767D"/>
    <w:multiLevelType w:val="hybridMultilevel"/>
    <w:tmpl w:val="E076B87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9294D"/>
    <w:multiLevelType w:val="hybridMultilevel"/>
    <w:tmpl w:val="36A249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D2463"/>
    <w:multiLevelType w:val="hybridMultilevel"/>
    <w:tmpl w:val="25742F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43"/>
  </w:num>
  <w:num w:numId="4">
    <w:abstractNumId w:val="29"/>
  </w:num>
  <w:num w:numId="5">
    <w:abstractNumId w:val="16"/>
  </w:num>
  <w:num w:numId="6">
    <w:abstractNumId w:val="11"/>
  </w:num>
  <w:num w:numId="7">
    <w:abstractNumId w:val="18"/>
  </w:num>
  <w:num w:numId="8">
    <w:abstractNumId w:val="34"/>
  </w:num>
  <w:num w:numId="9">
    <w:abstractNumId w:val="8"/>
  </w:num>
  <w:num w:numId="10">
    <w:abstractNumId w:val="14"/>
  </w:num>
  <w:num w:numId="11">
    <w:abstractNumId w:val="20"/>
  </w:num>
  <w:num w:numId="12">
    <w:abstractNumId w:val="12"/>
  </w:num>
  <w:num w:numId="13">
    <w:abstractNumId w:val="38"/>
  </w:num>
  <w:num w:numId="14">
    <w:abstractNumId w:val="3"/>
  </w:num>
  <w:num w:numId="15">
    <w:abstractNumId w:val="15"/>
  </w:num>
  <w:num w:numId="16">
    <w:abstractNumId w:val="23"/>
  </w:num>
  <w:num w:numId="17">
    <w:abstractNumId w:val="44"/>
  </w:num>
  <w:num w:numId="18">
    <w:abstractNumId w:val="46"/>
  </w:num>
  <w:num w:numId="19">
    <w:abstractNumId w:val="24"/>
  </w:num>
  <w:num w:numId="20">
    <w:abstractNumId w:val="35"/>
  </w:num>
  <w:num w:numId="21">
    <w:abstractNumId w:val="32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33"/>
  </w:num>
  <w:num w:numId="27">
    <w:abstractNumId w:val="28"/>
  </w:num>
  <w:num w:numId="28">
    <w:abstractNumId w:val="1"/>
  </w:num>
  <w:num w:numId="29">
    <w:abstractNumId w:val="37"/>
  </w:num>
  <w:num w:numId="30">
    <w:abstractNumId w:val="27"/>
  </w:num>
  <w:num w:numId="31">
    <w:abstractNumId w:val="45"/>
  </w:num>
  <w:num w:numId="32">
    <w:abstractNumId w:val="42"/>
  </w:num>
  <w:num w:numId="33">
    <w:abstractNumId w:val="47"/>
  </w:num>
  <w:num w:numId="34">
    <w:abstractNumId w:val="17"/>
  </w:num>
  <w:num w:numId="35">
    <w:abstractNumId w:val="7"/>
  </w:num>
  <w:num w:numId="36">
    <w:abstractNumId w:val="31"/>
  </w:num>
  <w:num w:numId="37">
    <w:abstractNumId w:val="25"/>
  </w:num>
  <w:num w:numId="38">
    <w:abstractNumId w:val="36"/>
  </w:num>
  <w:num w:numId="39">
    <w:abstractNumId w:val="10"/>
  </w:num>
  <w:num w:numId="40">
    <w:abstractNumId w:val="13"/>
  </w:num>
  <w:num w:numId="41">
    <w:abstractNumId w:val="4"/>
  </w:num>
  <w:num w:numId="42">
    <w:abstractNumId w:val="30"/>
  </w:num>
  <w:num w:numId="43">
    <w:abstractNumId w:val="39"/>
  </w:num>
  <w:num w:numId="4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9"/>
  </w:num>
  <w:num w:numId="46">
    <w:abstractNumId w:val="26"/>
  </w:num>
  <w:num w:numId="47">
    <w:abstractNumId w:val="40"/>
  </w:num>
  <w:num w:numId="4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479"/>
    <w:rsid w:val="001305B3"/>
    <w:rsid w:val="00131734"/>
    <w:rsid w:val="001346AD"/>
    <w:rsid w:val="0013613C"/>
    <w:rsid w:val="00141F29"/>
    <w:rsid w:val="00142EB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7A6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5ED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4B0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B38"/>
    <w:rsid w:val="00317EF7"/>
    <w:rsid w:val="003218CD"/>
    <w:rsid w:val="00322DD2"/>
    <w:rsid w:val="00326C1A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009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DB3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05FA6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670AF"/>
    <w:rsid w:val="00472E7F"/>
    <w:rsid w:val="00473B0D"/>
    <w:rsid w:val="00474CD7"/>
    <w:rsid w:val="00477D00"/>
    <w:rsid w:val="00483976"/>
    <w:rsid w:val="00483BAE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0B1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744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2FEE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1EA9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1B9"/>
    <w:rsid w:val="005962B9"/>
    <w:rsid w:val="00596DE5"/>
    <w:rsid w:val="005A05AC"/>
    <w:rsid w:val="005A18A4"/>
    <w:rsid w:val="005A3021"/>
    <w:rsid w:val="005A34C6"/>
    <w:rsid w:val="005A401B"/>
    <w:rsid w:val="005A46EF"/>
    <w:rsid w:val="005A497A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71C"/>
    <w:rsid w:val="005D49CC"/>
    <w:rsid w:val="005D58A3"/>
    <w:rsid w:val="005E03DD"/>
    <w:rsid w:val="005E159A"/>
    <w:rsid w:val="005E1D3D"/>
    <w:rsid w:val="005E202D"/>
    <w:rsid w:val="005E4467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55D"/>
    <w:rsid w:val="00754A9D"/>
    <w:rsid w:val="00755339"/>
    <w:rsid w:val="00756B25"/>
    <w:rsid w:val="00757CFC"/>
    <w:rsid w:val="00757E6E"/>
    <w:rsid w:val="00761DF9"/>
    <w:rsid w:val="00762947"/>
    <w:rsid w:val="007632BD"/>
    <w:rsid w:val="00765112"/>
    <w:rsid w:val="00765245"/>
    <w:rsid w:val="007677F8"/>
    <w:rsid w:val="0077067D"/>
    <w:rsid w:val="00771DB9"/>
    <w:rsid w:val="00773452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15B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856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2FB"/>
    <w:rsid w:val="00836C01"/>
    <w:rsid w:val="00837EA5"/>
    <w:rsid w:val="008403A8"/>
    <w:rsid w:val="00840CA2"/>
    <w:rsid w:val="00840DA1"/>
    <w:rsid w:val="00841A9D"/>
    <w:rsid w:val="00842079"/>
    <w:rsid w:val="008422CE"/>
    <w:rsid w:val="00842984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0979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58FE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22B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0AD8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1F07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878EB"/>
    <w:rsid w:val="00A91241"/>
    <w:rsid w:val="00A9332D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4E0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975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652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1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385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181D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D29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602C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874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3A0C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19F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3C15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5C71D553-92D0-4D4D-A929-0503E1B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Refdecomentario">
    <w:name w:val="annotation reference"/>
    <w:basedOn w:val="Fuentedeprrafopredeter"/>
    <w:semiHidden/>
    <w:unhideWhenUsed/>
    <w:rsid w:val="00990A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0AD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90AD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90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90AD8"/>
    <w:rPr>
      <w:rFonts w:ascii="Arial" w:hAnsi="Arial"/>
      <w:b/>
      <w:bCs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E4467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5E4467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D8AC-03CC-4BB3-B2C4-68038272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104</cp:revision>
  <cp:lastPrinted>2016-09-01T20:25:00Z</cp:lastPrinted>
  <dcterms:created xsi:type="dcterms:W3CDTF">2016-08-26T17:06:00Z</dcterms:created>
  <dcterms:modified xsi:type="dcterms:W3CDTF">2021-12-17T21:13:00Z</dcterms:modified>
</cp:coreProperties>
</file>