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3C3DB3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C3DB3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3C3DB3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C3DB3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3C3DB3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3C3DB3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3C3DB3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3C3DB3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C3DB3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3C3DB3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3C3DB3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206709" w:rsidRPr="003C3DB3" w14:paraId="75AD415C" w14:textId="77777777" w:rsidTr="003C3DB3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206709" w:rsidRPr="003C3DB3" w:rsidRDefault="00206709" w:rsidP="00206709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3C3DB3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206709" w:rsidRPr="003C3DB3" w:rsidRDefault="00206709" w:rsidP="00206709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206808BC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/>
                <w:szCs w:val="20"/>
              </w:rPr>
              <w:t>Unidad de Enlace de Mejora Regulatoria.</w:t>
            </w:r>
          </w:p>
        </w:tc>
      </w:tr>
      <w:tr w:rsidR="00206709" w:rsidRPr="003C3DB3" w14:paraId="43844D61" w14:textId="77777777" w:rsidTr="003C3DB3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206709" w:rsidRPr="003C3DB3" w:rsidRDefault="00206709" w:rsidP="00206709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1B6A879" w14:textId="77777777" w:rsidR="00206709" w:rsidRPr="00D042C3" w:rsidRDefault="00206709" w:rsidP="00206709">
            <w:pPr>
              <w:spacing w:line="276" w:lineRule="auto"/>
              <w:rPr>
                <w:rFonts w:cs="Arial"/>
                <w:szCs w:val="20"/>
              </w:rPr>
            </w:pPr>
          </w:p>
          <w:p w14:paraId="3725E30D" w14:textId="1769FF3A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szCs w:val="20"/>
              </w:rPr>
              <w:t>Coordinación de Transparencia y Acceso a la Información Pública</w:t>
            </w:r>
          </w:p>
        </w:tc>
      </w:tr>
      <w:tr w:rsidR="00206709" w:rsidRPr="003C3DB3" w14:paraId="1C4817FA" w14:textId="77777777" w:rsidTr="003C3DB3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206709" w:rsidRPr="003C3DB3" w:rsidRDefault="00206709" w:rsidP="00206709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074BE8B8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szCs w:val="20"/>
              </w:rPr>
              <w:t>Coordinación</w:t>
            </w:r>
          </w:p>
        </w:tc>
      </w:tr>
      <w:tr w:rsidR="00206709" w:rsidRPr="003C3DB3" w14:paraId="1010F58C" w14:textId="77777777" w:rsidTr="003C3DB3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206709" w:rsidRPr="003C3DB3" w:rsidRDefault="00206709" w:rsidP="00206709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50952ABC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Cs/>
                <w:szCs w:val="20"/>
              </w:rPr>
              <w:t>Personal de apoyo para cumplimiento de sus atribuciones.</w:t>
            </w:r>
          </w:p>
        </w:tc>
      </w:tr>
      <w:tr w:rsidR="00570CE1" w:rsidRPr="003C3DB3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C3DB3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3C3DB3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3C3DB3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36559213" w:rsidR="005E4467" w:rsidRPr="003C3DB3" w:rsidRDefault="00206709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Cs/>
                <w:szCs w:val="20"/>
              </w:rPr>
              <w:t xml:space="preserve">Personal de la </w:t>
            </w:r>
            <w:r w:rsidRPr="00D042C3">
              <w:rPr>
                <w:rFonts w:cs="Arial"/>
                <w:szCs w:val="20"/>
              </w:rPr>
              <w:t>Coordinación de Transparencia y Acceso a la Información Pública.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4C70552" w14:textId="647C9F84" w:rsidR="005E4467" w:rsidRPr="003C3DB3" w:rsidRDefault="00206709" w:rsidP="003C3DB3">
            <w:pPr>
              <w:pStyle w:val="TableParagraph"/>
              <w:ind w:left="32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206709">
              <w:rPr>
                <w:rFonts w:ascii="AkzidenzGrotesk" w:hAnsi="AkzidenzGrotesk"/>
                <w:sz w:val="20"/>
                <w:szCs w:val="20"/>
                <w:lang w:val="es-ES"/>
              </w:rPr>
              <w:t>Emprender las tareas propias de sus funciones como responsable de la mejora regulatoria dentro de la Coordinación de Transparencia y Acceso a la Información Pública.</w:t>
            </w:r>
          </w:p>
        </w:tc>
      </w:tr>
      <w:tr w:rsidR="00570CE1" w:rsidRPr="003C3DB3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C3DB3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3C3DB3" w14:paraId="5AA5A28C" w14:textId="77777777" w:rsidTr="00206709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206709" w:rsidRPr="003C3DB3" w14:paraId="4EA3AA36" w14:textId="77777777" w:rsidTr="00206709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BF3BA6F" w14:textId="0C0276C2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7E26EB">
              <w:t>Autoridad Municipal de Mejora Regulatoria, Enlaces de Mejora Regulatoria de las Unidades Administrativas Municipales, entes Federales y/o Estatales de Mejora Regulatoria, en su caso.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760A54EA" w:rsidR="00206709" w:rsidRPr="003C3DB3" w:rsidRDefault="00206709" w:rsidP="00206709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206709">
              <w:rPr>
                <w:lang w:val="es-MX"/>
              </w:rPr>
              <w:t>Diagnosticar, diseñar, implementar, evaluar e informar de las contribuciones de la Coordinación de Transparencia y Acceso a la Información Pública al Sistema Municipal de Mejora Regulatoria.</w:t>
            </w:r>
          </w:p>
        </w:tc>
      </w:tr>
    </w:tbl>
    <w:p w14:paraId="5E4D4258" w14:textId="05687BBD" w:rsidR="00570CE1" w:rsidRDefault="00570CE1" w:rsidP="00570CE1">
      <w:pPr>
        <w:rPr>
          <w:rFonts w:ascii="AkzidenzGrotesk" w:hAnsi="AkzidenzGrotesk" w:cs="Arial"/>
          <w:sz w:val="24"/>
        </w:rPr>
      </w:pPr>
    </w:p>
    <w:p w14:paraId="145FB656" w14:textId="36E2CF51" w:rsidR="00206709" w:rsidRDefault="00206709" w:rsidP="00570CE1">
      <w:pPr>
        <w:rPr>
          <w:rFonts w:ascii="AkzidenzGrotesk" w:hAnsi="AkzidenzGrotesk" w:cs="Arial"/>
          <w:sz w:val="24"/>
        </w:rPr>
      </w:pPr>
    </w:p>
    <w:p w14:paraId="36383A9B" w14:textId="77777777" w:rsidR="00206709" w:rsidRPr="003C3DB3" w:rsidRDefault="00206709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3C3DB3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C3DB3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3C3DB3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C3DB3" w14:paraId="3479FDFF" w14:textId="77777777" w:rsidTr="00206709">
        <w:trPr>
          <w:trHeight w:val="153"/>
        </w:trPr>
        <w:tc>
          <w:tcPr>
            <w:tcW w:w="5000" w:type="pct"/>
            <w:tcBorders>
              <w:top w:val="single" w:sz="2" w:space="0" w:color="D9D9D9" w:themeColor="background1" w:themeShade="D9"/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3C3DB3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3C3DB3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206709" w:rsidRPr="003C3DB3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674738B5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lastRenderedPageBreak/>
              <w:t xml:space="preserve">Desarrollar las acciones de Mejora Regulatoria dentro de la </w:t>
            </w:r>
            <w:r w:rsidRPr="00D042C3">
              <w:rPr>
                <w:rFonts w:cs="Arial"/>
                <w:szCs w:val="20"/>
              </w:rPr>
              <w:t>Coordinación de Transparencia y Acceso a la Información Pública</w:t>
            </w:r>
            <w:r w:rsidRPr="00D042C3">
              <w:rPr>
                <w:rFonts w:cs="Arial"/>
                <w:bCs/>
                <w:szCs w:val="20"/>
              </w:rPr>
              <w:t>, para lo cual trabajará conjuntamente con la Autoridad Municipal.</w:t>
            </w:r>
          </w:p>
        </w:tc>
      </w:tr>
    </w:tbl>
    <w:p w14:paraId="1A03F6A4" w14:textId="77777777" w:rsidR="005E4467" w:rsidRPr="003C3DB3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C3DB3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3C3DB3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3C3DB3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3C3DB3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3C3DB3" w14:paraId="67666D4E" w14:textId="77777777" w:rsidTr="00A9332D">
        <w:trPr>
          <w:trHeight w:val="351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8B20158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206709">
              <w:rPr>
                <w:rFonts w:cs="Arial"/>
                <w:bCs/>
                <w:szCs w:val="20"/>
              </w:rPr>
              <w:t>Coordinar el proceso de mejora regulatoria al interior del Sujeto Obligado, siguiendo los planes formulados por la Autoridad Municipal;</w:t>
            </w:r>
          </w:p>
          <w:p w14:paraId="2FEA3355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206709">
              <w:rPr>
                <w:rFonts w:cs="Arial"/>
                <w:bCs/>
                <w:szCs w:val="20"/>
              </w:rPr>
              <w:t>Formular y someter a la opinión de la Autoridad Municipal el Programa Anual;</w:t>
            </w:r>
          </w:p>
          <w:p w14:paraId="46C01DB8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206709">
              <w:rPr>
                <w:rFonts w:cs="Arial"/>
                <w:bCs/>
                <w:szCs w:val="20"/>
              </w:rPr>
              <w:t>Informar de conformidad con el calendario que establezca la Autoridad Municipal, respecto de los avances y resultados en la ejecución del Programa Anual correspondiente;</w:t>
            </w:r>
          </w:p>
          <w:p w14:paraId="5340ED84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206709">
              <w:rPr>
                <w:rFonts w:cs="Arial"/>
                <w:bCs/>
                <w:szCs w:val="20"/>
              </w:rPr>
              <w:t>Formular las Propuestas regulatorias y los Análisis correspondientes;</w:t>
            </w:r>
          </w:p>
          <w:p w14:paraId="7CE4BA57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206709">
              <w:rPr>
                <w:rFonts w:cs="Arial"/>
                <w:bCs/>
                <w:szCs w:val="20"/>
              </w:rPr>
              <w:t>Hacer del conocimiento de la Autoridad Municipal, las actualizaciones o modificaciones al Catálogo Municipal en el ámbito de su competencia;</w:t>
            </w:r>
          </w:p>
          <w:p w14:paraId="6DCD9031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206709">
              <w:rPr>
                <w:rFonts w:cs="Arial"/>
                <w:bCs/>
                <w:szCs w:val="20"/>
              </w:rPr>
              <w:t>Informar al titular del Sujeto Obligado de los resultados de su gestión en materia de mejora regulatoria cada seis meses; asistir de forma puntual a las reuniones que convoque la Autoridad Municipal.</w:t>
            </w:r>
          </w:p>
          <w:p w14:paraId="022199EC" w14:textId="77777777" w:rsidR="00206709" w:rsidRPr="00206709" w:rsidRDefault="00206709" w:rsidP="00206709">
            <w:pPr>
              <w:numPr>
                <w:ilvl w:val="0"/>
                <w:numId w:val="36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  <w:lang w:eastAsia="es-MX"/>
              </w:rPr>
            </w:pPr>
            <w:r w:rsidRPr="00206709">
              <w:rPr>
                <w:rFonts w:cs="Arial"/>
                <w:bCs/>
                <w:szCs w:val="20"/>
              </w:rPr>
              <w:t>Colaborar con la Autoridad Municipal en la elaboración y ejecución de mecanismos que permitan medir periódicamente la implementación de la mejora regulatoria en los Sujetos Obligados, y</w:t>
            </w:r>
          </w:p>
          <w:p w14:paraId="56B48BDC" w14:textId="5E1A986C" w:rsidR="00570CE1" w:rsidRPr="003C3DB3" w:rsidRDefault="00206709" w:rsidP="00206709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206709">
              <w:rPr>
                <w:bCs/>
                <w:sz w:val="20"/>
                <w:szCs w:val="20"/>
                <w:lang w:val="es-MX"/>
              </w:rPr>
              <w:t>Las demás que señale el Reglamento de Mejora Regulatoria del Municipio de Centro, otros ordenamientos aplicables y la Autoridad Municipal.</w:t>
            </w:r>
          </w:p>
        </w:tc>
      </w:tr>
    </w:tbl>
    <w:p w14:paraId="11975F6E" w14:textId="77777777" w:rsidR="00AC24E0" w:rsidRPr="003C3DB3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3C3DB3" w:rsidRDefault="00570CE1" w:rsidP="00570CE1">
      <w:pPr>
        <w:pStyle w:val="MTexto"/>
        <w:rPr>
          <w:rFonts w:ascii="AkzidenzGrotesk" w:hAnsi="AkzidenzGrotesk"/>
          <w:b/>
        </w:rPr>
      </w:pPr>
      <w:r w:rsidRPr="003C3DB3">
        <w:rPr>
          <w:rFonts w:ascii="AkzidenzGrotesk" w:hAnsi="AkzidenzGrotesk"/>
          <w:b/>
        </w:rPr>
        <w:t xml:space="preserve">Perfil del </w:t>
      </w:r>
      <w:proofErr w:type="gramStart"/>
      <w:r w:rsidRPr="003C3DB3">
        <w:rPr>
          <w:rFonts w:ascii="AkzidenzGrotesk" w:hAnsi="AkzidenzGrotesk"/>
          <w:b/>
        </w:rPr>
        <w:t>Responsable</w:t>
      </w:r>
      <w:proofErr w:type="gramEnd"/>
      <w:r w:rsidRPr="003C3DB3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3C3DB3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3C3DB3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3C3DB3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206709" w:rsidRPr="003C3DB3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206709" w:rsidRPr="003C3DB3" w:rsidRDefault="00206709" w:rsidP="00206709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441A09" w14:textId="77777777" w:rsidR="00206709" w:rsidRPr="00D042C3" w:rsidRDefault="00206709" w:rsidP="00206709">
            <w:pPr>
              <w:pStyle w:val="Prrafodelist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Educación Superior Terminada.</w:t>
            </w:r>
          </w:p>
          <w:p w14:paraId="6DA05622" w14:textId="19A7A0FD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Cs/>
                <w:szCs w:val="20"/>
              </w:rPr>
              <w:t>Certificación en Mejora Regulatoria (Obtenida o en proceso verificable de obtención) por alguna de las instancias oficiales en la materia.</w:t>
            </w:r>
          </w:p>
        </w:tc>
      </w:tr>
      <w:tr w:rsidR="00206709" w:rsidRPr="003C3DB3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206709" w:rsidRPr="003C3DB3" w:rsidRDefault="00206709" w:rsidP="00206709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ED7DBF5" w14:textId="77777777" w:rsidR="00206709" w:rsidRPr="00D042C3" w:rsidRDefault="00206709" w:rsidP="00206709">
            <w:pPr>
              <w:pStyle w:val="Prrafodelista"/>
              <w:numPr>
                <w:ilvl w:val="0"/>
                <w:numId w:val="38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1 año o más en diseño, implementación y/o evaluación de programas de mejora regulatoria en la Administración Pública.</w:t>
            </w:r>
          </w:p>
          <w:p w14:paraId="3ECABCE5" w14:textId="4A1E1BDF" w:rsidR="00206709" w:rsidRPr="003C3DB3" w:rsidRDefault="00206709" w:rsidP="00206709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Cs/>
                <w:szCs w:val="20"/>
              </w:rPr>
              <w:t>2 años o más en sistemas de calidad, NOM e ISO.</w:t>
            </w:r>
          </w:p>
        </w:tc>
      </w:tr>
      <w:tr w:rsidR="00206709" w:rsidRPr="003C3DB3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206709" w:rsidRPr="003C3DB3" w:rsidRDefault="00206709" w:rsidP="00206709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A921943" w14:textId="77777777" w:rsidR="00206709" w:rsidRPr="00D042C3" w:rsidRDefault="00206709" w:rsidP="00206709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Marco Normativo vigente en Mejora Regulatoria.</w:t>
            </w:r>
          </w:p>
          <w:p w14:paraId="01E00014" w14:textId="77777777" w:rsidR="00206709" w:rsidRPr="00D042C3" w:rsidRDefault="00206709" w:rsidP="00206709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Diseño, implementación y evaluación de procesos y herramientas de Mejora Regulatoria.</w:t>
            </w:r>
          </w:p>
          <w:p w14:paraId="096FADE0" w14:textId="77777777" w:rsidR="00206709" w:rsidRPr="00D042C3" w:rsidRDefault="00206709" w:rsidP="00206709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Administración Pública.</w:t>
            </w:r>
          </w:p>
          <w:p w14:paraId="726CA465" w14:textId="1C6E1D1B" w:rsidR="00206709" w:rsidRPr="003C3DB3" w:rsidRDefault="00206709" w:rsidP="00206709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Cs/>
                <w:szCs w:val="20"/>
              </w:rPr>
              <w:t>Gestión de calidad en los sectores privado, académico y/o social.</w:t>
            </w:r>
          </w:p>
        </w:tc>
      </w:tr>
      <w:tr w:rsidR="00206709" w:rsidRPr="003C3DB3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206709" w:rsidRPr="003C3DB3" w:rsidRDefault="00206709" w:rsidP="00206709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ABE874" w14:textId="77777777" w:rsidR="00206709" w:rsidRPr="00D042C3" w:rsidRDefault="00206709" w:rsidP="00206709">
            <w:pPr>
              <w:pStyle w:val="Prrafodelista"/>
              <w:numPr>
                <w:ilvl w:val="0"/>
                <w:numId w:val="40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Trabajo en equipo.</w:t>
            </w:r>
          </w:p>
          <w:p w14:paraId="4E018A0C" w14:textId="77777777" w:rsidR="00206709" w:rsidRPr="00D042C3" w:rsidRDefault="00206709" w:rsidP="00206709">
            <w:pPr>
              <w:pStyle w:val="Prrafodelista"/>
              <w:numPr>
                <w:ilvl w:val="0"/>
                <w:numId w:val="40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color w:val="222222"/>
                <w:szCs w:val="20"/>
                <w:shd w:val="clear" w:color="auto" w:fill="FFFFFF"/>
              </w:rPr>
              <w:t>Capacidad de iniciativa.</w:t>
            </w:r>
          </w:p>
          <w:p w14:paraId="2C19DB62" w14:textId="77777777" w:rsidR="00206709" w:rsidRPr="00D042C3" w:rsidRDefault="00206709" w:rsidP="00206709">
            <w:pPr>
              <w:pStyle w:val="Prrafodelista"/>
              <w:numPr>
                <w:ilvl w:val="0"/>
                <w:numId w:val="40"/>
              </w:numPr>
              <w:spacing w:line="276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Liderazgo.</w:t>
            </w:r>
          </w:p>
          <w:p w14:paraId="58322A2B" w14:textId="7701FD17" w:rsidR="00206709" w:rsidRPr="003C3DB3" w:rsidRDefault="00206709" w:rsidP="00206709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D042C3">
              <w:rPr>
                <w:rFonts w:cs="Arial"/>
                <w:bCs/>
                <w:szCs w:val="20"/>
              </w:rPr>
              <w:t>Responsabilidad.</w:t>
            </w:r>
          </w:p>
        </w:tc>
      </w:tr>
    </w:tbl>
    <w:p w14:paraId="420A21A1" w14:textId="77777777" w:rsidR="00570CE1" w:rsidRPr="003C3DB3" w:rsidRDefault="00570CE1" w:rsidP="00206709">
      <w:pPr>
        <w:rPr>
          <w:rFonts w:ascii="AkzidenzGrotesk" w:hAnsi="AkzidenzGrotesk"/>
        </w:rPr>
      </w:pPr>
      <w:bookmarkStart w:id="1" w:name="_GoBack"/>
      <w:bookmarkEnd w:id="1"/>
    </w:p>
    <w:sectPr w:rsidR="00570CE1" w:rsidRPr="003C3DB3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D02C" w14:textId="77777777" w:rsidR="008C47A2" w:rsidRDefault="008C47A2">
      <w:r>
        <w:separator/>
      </w:r>
    </w:p>
  </w:endnote>
  <w:endnote w:type="continuationSeparator" w:id="0">
    <w:p w14:paraId="574DCE3F" w14:textId="77777777" w:rsidR="008C47A2" w:rsidRDefault="008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8364" w14:textId="77777777" w:rsidR="008C47A2" w:rsidRDefault="008C47A2">
      <w:r>
        <w:separator/>
      </w:r>
    </w:p>
  </w:footnote>
  <w:footnote w:type="continuationSeparator" w:id="0">
    <w:p w14:paraId="44881FA8" w14:textId="77777777" w:rsidR="008C47A2" w:rsidRDefault="008C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8C47A2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D2463"/>
    <w:multiLevelType w:val="hybridMultilevel"/>
    <w:tmpl w:val="25742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2"/>
  </w:num>
  <w:num w:numId="4">
    <w:abstractNumId w:val="28"/>
  </w:num>
  <w:num w:numId="5">
    <w:abstractNumId w:val="16"/>
  </w:num>
  <w:num w:numId="6">
    <w:abstractNumId w:val="11"/>
  </w:num>
  <w:num w:numId="7">
    <w:abstractNumId w:val="19"/>
  </w:num>
  <w:num w:numId="8">
    <w:abstractNumId w:val="34"/>
  </w:num>
  <w:num w:numId="9">
    <w:abstractNumId w:val="8"/>
  </w:num>
  <w:num w:numId="10">
    <w:abstractNumId w:val="14"/>
  </w:num>
  <w:num w:numId="11">
    <w:abstractNumId w:val="21"/>
  </w:num>
  <w:num w:numId="12">
    <w:abstractNumId w:val="12"/>
  </w:num>
  <w:num w:numId="13">
    <w:abstractNumId w:val="38"/>
  </w:num>
  <w:num w:numId="14">
    <w:abstractNumId w:val="3"/>
  </w:num>
  <w:num w:numId="15">
    <w:abstractNumId w:val="15"/>
  </w:num>
  <w:num w:numId="16">
    <w:abstractNumId w:val="23"/>
  </w:num>
  <w:num w:numId="17">
    <w:abstractNumId w:val="43"/>
  </w:num>
  <w:num w:numId="18">
    <w:abstractNumId w:val="45"/>
  </w:num>
  <w:num w:numId="19">
    <w:abstractNumId w:val="24"/>
  </w:num>
  <w:num w:numId="20">
    <w:abstractNumId w:val="35"/>
  </w:num>
  <w:num w:numId="21">
    <w:abstractNumId w:val="31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2"/>
  </w:num>
  <w:num w:numId="27">
    <w:abstractNumId w:val="27"/>
  </w:num>
  <w:num w:numId="28">
    <w:abstractNumId w:val="1"/>
  </w:num>
  <w:num w:numId="29">
    <w:abstractNumId w:val="37"/>
  </w:num>
  <w:num w:numId="30">
    <w:abstractNumId w:val="26"/>
  </w:num>
  <w:num w:numId="31">
    <w:abstractNumId w:val="44"/>
  </w:num>
  <w:num w:numId="32">
    <w:abstractNumId w:val="41"/>
  </w:num>
  <w:num w:numId="33">
    <w:abstractNumId w:val="46"/>
  </w:num>
  <w:num w:numId="34">
    <w:abstractNumId w:val="17"/>
  </w:num>
  <w:num w:numId="35">
    <w:abstractNumId w:val="7"/>
  </w:num>
  <w:num w:numId="36">
    <w:abstractNumId w:val="30"/>
  </w:num>
  <w:num w:numId="37">
    <w:abstractNumId w:val="25"/>
  </w:num>
  <w:num w:numId="38">
    <w:abstractNumId w:val="36"/>
  </w:num>
  <w:num w:numId="39">
    <w:abstractNumId w:val="10"/>
  </w:num>
  <w:num w:numId="40">
    <w:abstractNumId w:val="13"/>
  </w:num>
  <w:num w:numId="41">
    <w:abstractNumId w:val="4"/>
  </w:num>
  <w:num w:numId="42">
    <w:abstractNumId w:val="29"/>
  </w:num>
  <w:num w:numId="43">
    <w:abstractNumId w:val="39"/>
  </w:num>
  <w:num w:numId="4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18"/>
  </w:num>
  <w:num w:numId="4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6709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DB3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47A2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652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D0F8-EFDF-4DDC-ABDC-5E782EF2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104</cp:revision>
  <cp:lastPrinted>2016-09-01T20:25:00Z</cp:lastPrinted>
  <dcterms:created xsi:type="dcterms:W3CDTF">2016-08-26T17:06:00Z</dcterms:created>
  <dcterms:modified xsi:type="dcterms:W3CDTF">2021-12-17T21:23:00Z</dcterms:modified>
</cp:coreProperties>
</file>