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DB96" w14:textId="77777777" w:rsidR="00037961" w:rsidRDefault="00037961" w:rsidP="00B5632E">
      <w:pPr>
        <w:spacing w:after="0" w:line="240" w:lineRule="auto"/>
        <w:contextualSpacing/>
        <w:jc w:val="center"/>
        <w:rPr>
          <w:rFonts w:ascii="Gotham Book" w:eastAsia="Calibri" w:hAnsi="Gotham Book" w:cs="Arial"/>
          <w:b/>
          <w:spacing w:val="38"/>
          <w:sz w:val="26"/>
          <w:szCs w:val="20"/>
        </w:rPr>
      </w:pPr>
    </w:p>
    <w:p w14:paraId="07982C94" w14:textId="16E56B30" w:rsidR="00037961" w:rsidRPr="00B0287F" w:rsidRDefault="00037961" w:rsidP="00037961">
      <w:pPr>
        <w:spacing w:after="0" w:line="240" w:lineRule="auto"/>
        <w:ind w:right="-284"/>
        <w:contextualSpacing/>
        <w:jc w:val="center"/>
        <w:rPr>
          <w:rFonts w:ascii="Gotham Book" w:eastAsia="Calibri" w:hAnsi="Gotham Book" w:cs="Arial"/>
          <w:b/>
          <w:spacing w:val="38"/>
          <w:sz w:val="26"/>
          <w:szCs w:val="20"/>
        </w:rPr>
      </w:pPr>
      <w:r w:rsidRPr="00B0287F">
        <w:rPr>
          <w:rFonts w:ascii="Gotham Book" w:eastAsia="Calibri" w:hAnsi="Gotham Book" w:cs="Arial"/>
          <w:b/>
          <w:spacing w:val="38"/>
          <w:sz w:val="26"/>
          <w:szCs w:val="20"/>
        </w:rPr>
        <w:t>NOMBRE DEL TRÁMITE</w:t>
      </w:r>
    </w:p>
    <w:p w14:paraId="73F2CFC0" w14:textId="77777777" w:rsidR="00037961" w:rsidRPr="00B0287F" w:rsidRDefault="00037961" w:rsidP="00037961">
      <w:pPr>
        <w:spacing w:after="0" w:line="240" w:lineRule="auto"/>
        <w:ind w:right="-284"/>
        <w:contextualSpacing/>
        <w:rPr>
          <w:rFonts w:ascii="Gotham Book" w:eastAsia="Calibri" w:hAnsi="Gotham Book" w:cs="Arial"/>
          <w:b/>
          <w:sz w:val="16"/>
          <w:szCs w:val="20"/>
        </w:rPr>
      </w:pPr>
    </w:p>
    <w:p w14:paraId="4518FC79" w14:textId="77777777" w:rsidR="00037961" w:rsidRPr="00B0287F" w:rsidRDefault="00E9407C" w:rsidP="00037961">
      <w:pPr>
        <w:keepNext/>
        <w:keepLines/>
        <w:spacing w:after="0" w:line="240" w:lineRule="auto"/>
        <w:jc w:val="center"/>
        <w:outlineLvl w:val="0"/>
        <w:rPr>
          <w:rFonts w:ascii="Gotham Book" w:eastAsiaTheme="majorEastAsia" w:hAnsi="Gotham Book" w:cstheme="majorBidi"/>
          <w:b/>
          <w:bCs/>
          <w:color w:val="2E74B5" w:themeColor="accent1" w:themeShade="BF"/>
          <w:sz w:val="28"/>
          <w:szCs w:val="28"/>
          <w:lang w:eastAsia="es-MX"/>
        </w:rPr>
      </w:pPr>
      <w:hyperlink w:anchor="_top" w:history="1">
        <w:r w:rsidR="00037961" w:rsidRPr="00B0287F">
          <w:rPr>
            <w:rFonts w:ascii="Gotham Book" w:eastAsiaTheme="majorEastAsia" w:hAnsi="Gotham Book" w:cstheme="majorBidi"/>
            <w:b/>
            <w:bCs/>
            <w:color w:val="0563C1" w:themeColor="hyperlink"/>
            <w:sz w:val="28"/>
            <w:szCs w:val="28"/>
            <w:u w:val="single"/>
            <w:lang w:eastAsia="es-MX"/>
          </w:rPr>
          <w:t>EXPEDICIÓN CONSTANCIA DE EVALUACION DE RIESGO</w:t>
        </w:r>
      </w:hyperlink>
    </w:p>
    <w:p w14:paraId="6A9A9462" w14:textId="77777777" w:rsidR="00037961" w:rsidRPr="00B0287F" w:rsidRDefault="00037961" w:rsidP="00037961">
      <w:pPr>
        <w:tabs>
          <w:tab w:val="left" w:pos="3855"/>
        </w:tabs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EN QUE CONSISTE:</w:t>
      </w:r>
    </w:p>
    <w:p w14:paraId="473B590E" w14:textId="77777777" w:rsidR="00037961" w:rsidRPr="00B0287F" w:rsidRDefault="00037961" w:rsidP="00037961">
      <w:pPr>
        <w:spacing w:before="120" w:after="120" w:line="240" w:lineRule="auto"/>
        <w:ind w:left="284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 xml:space="preserve">El conjunto de acciones encaminadas a la </w:t>
      </w:r>
      <w:r w:rsidRPr="00B0287F">
        <w:rPr>
          <w:rFonts w:ascii="Gotham Book" w:eastAsia="Calibri" w:hAnsi="Gotham Book" w:cs="Times New Roman"/>
          <w:b/>
        </w:rPr>
        <w:t>identificación, análisis, evaluación,</w:t>
      </w:r>
      <w:r w:rsidRPr="00B0287F">
        <w:rPr>
          <w:rFonts w:ascii="Gotham Book" w:eastAsia="Calibri" w:hAnsi="Gotham Book" w:cs="Times New Roman"/>
        </w:rPr>
        <w:t xml:space="preserve"> control y reducción </w:t>
      </w:r>
      <w:r w:rsidRPr="00B0287F">
        <w:rPr>
          <w:rFonts w:ascii="Gotham Book" w:eastAsia="Calibri" w:hAnsi="Gotham Book" w:cs="Times New Roman"/>
          <w:b/>
        </w:rPr>
        <w:t>de los riesgos</w:t>
      </w:r>
      <w:r w:rsidRPr="00B0287F">
        <w:rPr>
          <w:rFonts w:ascii="Gotham Book" w:eastAsia="Calibri" w:hAnsi="Gotham Book" w:cs="Times New Roman"/>
        </w:rPr>
        <w:t xml:space="preserve">, considerándolos por su origen multifactorial y en un proceso permanente de construcción </w:t>
      </w:r>
    </w:p>
    <w:p w14:paraId="4AD445AD" w14:textId="77777777" w:rsidR="00037961" w:rsidRPr="00B0287F" w:rsidRDefault="00037961" w:rsidP="00037961">
      <w:pPr>
        <w:tabs>
          <w:tab w:val="left" w:pos="3855"/>
        </w:tabs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FINALIDAD:</w:t>
      </w:r>
    </w:p>
    <w:p w14:paraId="4C81E4A6" w14:textId="77777777" w:rsidR="00037961" w:rsidRPr="00B0287F" w:rsidRDefault="00037961" w:rsidP="00B5632E">
      <w:pPr>
        <w:spacing w:before="120" w:after="120" w:line="252" w:lineRule="auto"/>
        <w:ind w:left="284"/>
        <w:jc w:val="both"/>
        <w:rPr>
          <w:rFonts w:ascii="Arial" w:eastAsia="Calibri" w:hAnsi="Arial" w:cs="Arial"/>
          <w:spacing w:val="10"/>
          <w:sz w:val="20"/>
          <w:szCs w:val="20"/>
        </w:rPr>
      </w:pPr>
      <w:r w:rsidRPr="00B0287F">
        <w:rPr>
          <w:rFonts w:ascii="Gotham Book" w:eastAsia="Calibri" w:hAnsi="Gotham Book" w:cs="Times New Roman"/>
        </w:rPr>
        <w:t xml:space="preserve">Determinar </w:t>
      </w:r>
      <w:r w:rsidRPr="00B0287F">
        <w:rPr>
          <w:rFonts w:ascii="Gotham Book" w:eastAsia="Calibri" w:hAnsi="Gotham Book" w:cs="Times New Roman"/>
          <w:b/>
        </w:rPr>
        <w:t>la probabilidad</w:t>
      </w:r>
      <w:r w:rsidRPr="00B0287F">
        <w:rPr>
          <w:rFonts w:ascii="Gotham Book" w:eastAsia="Calibri" w:hAnsi="Gotham Book" w:cs="Times New Roman"/>
        </w:rPr>
        <w:t xml:space="preserve"> de que se produzca un daño, originado por un fenómeno perturbador.</w:t>
      </w:r>
    </w:p>
    <w:p w14:paraId="2E2D963D" w14:textId="77777777" w:rsidR="00037961" w:rsidRPr="00B0287F" w:rsidRDefault="00037961" w:rsidP="00037961">
      <w:pPr>
        <w:tabs>
          <w:tab w:val="left" w:pos="3855"/>
        </w:tabs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REQUISITOS:</w:t>
      </w:r>
    </w:p>
    <w:p w14:paraId="25E96526" w14:textId="77777777" w:rsidR="00037961" w:rsidRPr="00B0287F" w:rsidRDefault="00037961" w:rsidP="00037961">
      <w:pPr>
        <w:numPr>
          <w:ilvl w:val="0"/>
          <w:numId w:val="3"/>
        </w:numPr>
        <w:tabs>
          <w:tab w:val="left" w:pos="3855"/>
        </w:tabs>
        <w:spacing w:before="120" w:after="120" w:line="264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Solicitud de Constancia de Evaluación de Riesgo dirigida al Coordinador Municipal.</w:t>
      </w:r>
    </w:p>
    <w:p w14:paraId="05DA251F" w14:textId="77777777" w:rsidR="00037961" w:rsidRPr="00B0287F" w:rsidRDefault="00037961" w:rsidP="00037961">
      <w:pPr>
        <w:numPr>
          <w:ilvl w:val="0"/>
          <w:numId w:val="3"/>
        </w:numPr>
        <w:tabs>
          <w:tab w:val="left" w:pos="3855"/>
        </w:tabs>
        <w:spacing w:before="120" w:after="120" w:line="264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 xml:space="preserve">Copia de </w:t>
      </w:r>
      <w:r w:rsidRPr="00B0287F">
        <w:rPr>
          <w:rFonts w:ascii="Gotham Book" w:hAnsi="Gotham Book"/>
          <w:lang w:val="es-ES"/>
        </w:rPr>
        <w:t>Contrato de Cesión de Derechos de Posesión</w:t>
      </w:r>
      <w:r w:rsidRPr="00B0287F">
        <w:rPr>
          <w:rFonts w:ascii="Gotham Book" w:hAnsi="Gotham Book"/>
        </w:rPr>
        <w:t xml:space="preserve">, </w:t>
      </w:r>
      <w:r w:rsidRPr="00B0287F">
        <w:rPr>
          <w:rFonts w:ascii="Gotham Book" w:hAnsi="Gotham Book"/>
          <w:lang w:val="es-ES"/>
        </w:rPr>
        <w:t>Acta Notarial Protocolizada,</w:t>
      </w:r>
      <w:r w:rsidRPr="00B0287F">
        <w:rPr>
          <w:rFonts w:ascii="Gotham Book" w:hAnsi="Gotham Book"/>
        </w:rPr>
        <w:t xml:space="preserve"> y/o Certificación Notarial del Predio.</w:t>
      </w:r>
    </w:p>
    <w:p w14:paraId="1CCEC039" w14:textId="77777777" w:rsidR="00037961" w:rsidRPr="00B0287F" w:rsidRDefault="00037961" w:rsidP="00037961">
      <w:pPr>
        <w:numPr>
          <w:ilvl w:val="0"/>
          <w:numId w:val="3"/>
        </w:numPr>
        <w:tabs>
          <w:tab w:val="left" w:pos="3855"/>
        </w:tabs>
        <w:spacing w:before="120" w:after="120" w:line="264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Copia de Identificación Oficial.</w:t>
      </w:r>
    </w:p>
    <w:p w14:paraId="42B119C2" w14:textId="77777777" w:rsidR="00037961" w:rsidRPr="00B0287F" w:rsidRDefault="00037961" w:rsidP="00037961">
      <w:pPr>
        <w:numPr>
          <w:ilvl w:val="0"/>
          <w:numId w:val="3"/>
        </w:numPr>
        <w:tabs>
          <w:tab w:val="left" w:pos="3855"/>
        </w:tabs>
        <w:spacing w:before="120" w:after="120" w:line="264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Constancia de Residencia emitida por la Delegación Municipal, correspondiente.</w:t>
      </w:r>
    </w:p>
    <w:p w14:paraId="1F35F328" w14:textId="77777777" w:rsidR="00037961" w:rsidRPr="00B0287F" w:rsidRDefault="00037961" w:rsidP="00037961">
      <w:pPr>
        <w:numPr>
          <w:ilvl w:val="0"/>
          <w:numId w:val="3"/>
        </w:numPr>
        <w:tabs>
          <w:tab w:val="left" w:pos="3855"/>
        </w:tabs>
        <w:spacing w:before="120" w:after="120" w:line="264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Copia de Comprobante de domicilio, reciente.</w:t>
      </w:r>
    </w:p>
    <w:p w14:paraId="73BE0A8A" w14:textId="77777777" w:rsidR="00037961" w:rsidRPr="00B0287F" w:rsidRDefault="00037961" w:rsidP="00037961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PROCEDIMIENTO:</w:t>
      </w:r>
    </w:p>
    <w:p w14:paraId="5CA73522" w14:textId="77777777" w:rsidR="00037961" w:rsidRPr="00B0287F" w:rsidRDefault="00037961" w:rsidP="00037961">
      <w:pPr>
        <w:numPr>
          <w:ilvl w:val="0"/>
          <w:numId w:val="4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Solicitud dirigida al Titular de la Coordinación de Protección Civil en detallando los datos generales del predio.</w:t>
      </w:r>
    </w:p>
    <w:p w14:paraId="15AE53DD" w14:textId="77777777" w:rsidR="00037961" w:rsidRPr="00B0287F" w:rsidRDefault="00037961" w:rsidP="00037961">
      <w:pPr>
        <w:numPr>
          <w:ilvl w:val="0"/>
          <w:numId w:val="4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le elabora un pase de caja por el concepto de elaboración de Constancia, mismo que se paga en las cajas de la tesorería municipal.</w:t>
      </w:r>
    </w:p>
    <w:p w14:paraId="5BD3F816" w14:textId="77777777" w:rsidR="00037961" w:rsidRPr="00B0287F" w:rsidRDefault="00037961" w:rsidP="00037961">
      <w:pPr>
        <w:numPr>
          <w:ilvl w:val="0"/>
          <w:numId w:val="4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Al realizarse el pago deberán presentar copia del recibo oficial, para poder expedirlo.</w:t>
      </w:r>
    </w:p>
    <w:p w14:paraId="6DE143AC" w14:textId="77777777" w:rsidR="00037961" w:rsidRPr="00B0287F" w:rsidRDefault="00037961" w:rsidP="00037961">
      <w:pPr>
        <w:numPr>
          <w:ilvl w:val="0"/>
          <w:numId w:val="4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realiza trabajo de gabinete para la elaboración de constancia.</w:t>
      </w:r>
    </w:p>
    <w:p w14:paraId="75EE1BF6" w14:textId="77777777" w:rsidR="00037961" w:rsidRPr="00B0287F" w:rsidRDefault="00037961" w:rsidP="00037961">
      <w:pPr>
        <w:numPr>
          <w:ilvl w:val="0"/>
          <w:numId w:val="4"/>
        </w:numPr>
        <w:spacing w:before="120" w:after="120" w:line="242" w:lineRule="auto"/>
        <w:contextualSpacing/>
        <w:jc w:val="both"/>
        <w:rPr>
          <w:rFonts w:ascii="Gotham Book" w:hAnsi="Gotham Book"/>
        </w:rPr>
      </w:pPr>
      <w:r w:rsidRPr="00B0287F">
        <w:rPr>
          <w:rFonts w:ascii="Gotham Book" w:hAnsi="Gotham Book"/>
        </w:rPr>
        <w:t>Se entrega la Constancia de Evaluación de Riesgo.</w:t>
      </w:r>
    </w:p>
    <w:p w14:paraId="4AB39D95" w14:textId="77777777" w:rsidR="00037961" w:rsidRPr="00B0287F" w:rsidRDefault="00037961" w:rsidP="00037961">
      <w:pPr>
        <w:spacing w:before="120" w:after="120" w:line="240" w:lineRule="auto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>DURACIÓN DEL TRÁMITE: 5 días hábiles siempre que se cuente con todos los documentos positivos antes señalados.</w:t>
      </w:r>
    </w:p>
    <w:p w14:paraId="67B148A6" w14:textId="77777777" w:rsidR="00037961" w:rsidRPr="00B0287F" w:rsidRDefault="00037961" w:rsidP="00037961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t>FUNDAMENTO JURIDICO:</w:t>
      </w:r>
    </w:p>
    <w:p w14:paraId="173CFB3F" w14:textId="77777777" w:rsidR="00037961" w:rsidRPr="00B0287F" w:rsidRDefault="00037961" w:rsidP="00037961">
      <w:pPr>
        <w:spacing w:before="120" w:after="120" w:line="240" w:lineRule="auto"/>
        <w:jc w:val="both"/>
        <w:rPr>
          <w:rFonts w:ascii="Gotham Book" w:eastAsia="Calibri" w:hAnsi="Gotham Book" w:cs="Times New Roman"/>
        </w:rPr>
      </w:pPr>
      <w:r w:rsidRPr="00B0287F">
        <w:rPr>
          <w:rFonts w:ascii="Gotham Book" w:eastAsia="Calibri" w:hAnsi="Gotham Book" w:cs="Times New Roman"/>
        </w:rPr>
        <w:t xml:space="preserve">Suscribe, el Coordinador de Protección Civil del Municipio de Centro, Tabasco, con fundamento en lo dispuesto por el Capítulo I, Artículo 2. Fracciones, XXVII, XXX, XXXVI, XXXVIII, XXXIX, XLVIII, LVII, LIX y LX, Articulo 75, Fracción I, y Artículo 83 de la </w:t>
      </w:r>
      <w:r w:rsidRPr="00B0287F">
        <w:rPr>
          <w:rFonts w:ascii="Gotham Book" w:eastAsia="Calibri" w:hAnsi="Gotham Book" w:cs="Times New Roman"/>
          <w:b/>
        </w:rPr>
        <w:t>Ley General de Protección Civil</w:t>
      </w:r>
      <w:r w:rsidRPr="00B0287F">
        <w:rPr>
          <w:rFonts w:ascii="Gotham Book" w:eastAsia="Calibri" w:hAnsi="Gotham Book" w:cs="Times New Roman"/>
        </w:rPr>
        <w:t xml:space="preserve">; así como, el </w:t>
      </w:r>
      <w:r w:rsidRPr="00B0287F">
        <w:rPr>
          <w:rFonts w:ascii="Gotham Book" w:eastAsia="Calibri" w:hAnsi="Gotham Book" w:cs="Times New Roman"/>
          <w:bCs/>
        </w:rPr>
        <w:t xml:space="preserve">Capítulo XVII, Artículo 110 del </w:t>
      </w:r>
      <w:r w:rsidRPr="00B0287F">
        <w:rPr>
          <w:rFonts w:ascii="Gotham Book" w:eastAsia="Calibri" w:hAnsi="Gotham Book" w:cs="Times New Roman"/>
          <w:b/>
          <w:bCs/>
        </w:rPr>
        <w:t>Reglamento de la Ley General de Protección Civil</w:t>
      </w:r>
      <w:r w:rsidRPr="00B0287F">
        <w:rPr>
          <w:rFonts w:ascii="Gotham Book" w:eastAsia="Calibri" w:hAnsi="Gotham Book" w:cs="Times New Roman"/>
          <w:bCs/>
        </w:rPr>
        <w:t xml:space="preserve">; Capítulo I, articulo 2, fracción XXVII, XXX, XXXVIII, XLI, XLII, L y LI, </w:t>
      </w:r>
      <w:r w:rsidRPr="00B0287F">
        <w:rPr>
          <w:rFonts w:ascii="Gotham Book" w:eastAsia="Calibri" w:hAnsi="Gotham Book" w:cs="Times New Roman"/>
        </w:rPr>
        <w:t xml:space="preserve">de la </w:t>
      </w:r>
      <w:r w:rsidRPr="00B0287F">
        <w:rPr>
          <w:rFonts w:ascii="Gotham Book" w:eastAsia="Calibri" w:hAnsi="Gotham Book" w:cs="Times New Roman"/>
          <w:b/>
        </w:rPr>
        <w:t>Ley de Protección Civil del Estado de Tabasco</w:t>
      </w:r>
      <w:r w:rsidRPr="00B0287F">
        <w:rPr>
          <w:rFonts w:ascii="Gotham Book" w:eastAsia="Calibri" w:hAnsi="Gotham Book" w:cs="Times New Roman"/>
        </w:rPr>
        <w:t xml:space="preserve"> y Articulo 98, fracción XIV, del </w:t>
      </w:r>
      <w:r w:rsidRPr="00B0287F">
        <w:rPr>
          <w:rFonts w:ascii="Gotham Book" w:eastAsia="Calibri" w:hAnsi="Gotham Book" w:cs="Times New Roman"/>
          <w:b/>
        </w:rPr>
        <w:t>Reglamento de la Administración Pública</w:t>
      </w:r>
      <w:r w:rsidRPr="00B0287F">
        <w:rPr>
          <w:rFonts w:ascii="Gotham Book" w:eastAsia="Calibri" w:hAnsi="Gotham Book" w:cs="Times New Roman"/>
        </w:rPr>
        <w:t xml:space="preserve"> del Municipio de Centro, Tabasco.</w:t>
      </w:r>
    </w:p>
    <w:p w14:paraId="197F6BCB" w14:textId="77777777" w:rsidR="00037961" w:rsidRPr="00B0287F" w:rsidRDefault="00037961" w:rsidP="00037961">
      <w:pPr>
        <w:spacing w:before="240" w:after="240" w:line="240" w:lineRule="auto"/>
        <w:jc w:val="both"/>
        <w:rPr>
          <w:rFonts w:ascii="Gotham Book" w:eastAsia="Calibri" w:hAnsi="Gotham Book" w:cs="Times New Roman"/>
          <w:b/>
        </w:rPr>
      </w:pPr>
      <w:r w:rsidRPr="00B0287F">
        <w:rPr>
          <w:rFonts w:ascii="Gotham Book" w:eastAsia="Calibri" w:hAnsi="Gotham Book" w:cs="Times New Roman"/>
          <w:b/>
        </w:rPr>
        <w:lastRenderedPageBreak/>
        <w:t xml:space="preserve">COSTO:   </w:t>
      </w:r>
    </w:p>
    <w:tbl>
      <w:tblPr>
        <w:tblStyle w:val="Sombreadomedio1-nfasis1"/>
        <w:tblW w:w="0" w:type="auto"/>
        <w:tblInd w:w="644" w:type="dxa"/>
        <w:tblLook w:val="04A0" w:firstRow="1" w:lastRow="0" w:firstColumn="1" w:lastColumn="0" w:noHBand="0" w:noVBand="1"/>
      </w:tblPr>
      <w:tblGrid>
        <w:gridCol w:w="3741"/>
        <w:gridCol w:w="1893"/>
        <w:gridCol w:w="1894"/>
      </w:tblGrid>
      <w:tr w:rsidR="00037961" w:rsidRPr="00B0287F" w14:paraId="6EC40AEA" w14:textId="77777777" w:rsidTr="00092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14:paraId="4856FE4C" w14:textId="77777777" w:rsidR="00037961" w:rsidRPr="00B0287F" w:rsidRDefault="00037961" w:rsidP="00092FF9">
            <w:pPr>
              <w:keepNext/>
              <w:keepLines/>
              <w:spacing w:before="60" w:after="60"/>
              <w:jc w:val="both"/>
              <w:outlineLvl w:val="6"/>
              <w:rPr>
                <w:rFonts w:ascii="Gotham Book" w:eastAsiaTheme="majorEastAsia" w:hAnsi="Gotham Book" w:cstheme="majorBidi"/>
                <w:iCs/>
                <w:color w:val="1F4D78" w:themeColor="accent1" w:themeShade="7F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iCs/>
                <w:color w:val="1F4D78" w:themeColor="accent1" w:themeShade="7F"/>
              </w:rPr>
              <w:t>TABULACION X M</w:t>
            </w:r>
            <w:r w:rsidRPr="00B0287F">
              <w:rPr>
                <w:rFonts w:ascii="Gotham Book" w:eastAsiaTheme="majorEastAsia" w:hAnsi="Gotham Book" w:cstheme="majorBidi"/>
                <w:iCs/>
                <w:color w:val="1F4D78" w:themeColor="accent1" w:themeShade="7F"/>
                <w:vertAlign w:val="superscript"/>
              </w:rPr>
              <w:t>2</w:t>
            </w:r>
          </w:p>
        </w:tc>
        <w:tc>
          <w:tcPr>
            <w:tcW w:w="1893" w:type="dxa"/>
          </w:tcPr>
          <w:p w14:paraId="4C668240" w14:textId="77777777" w:rsidR="00037961" w:rsidRPr="00B0287F" w:rsidRDefault="00037961" w:rsidP="00092FF9">
            <w:pPr>
              <w:keepNext/>
              <w:keepLines/>
              <w:spacing w:before="60" w:after="60"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</w:rPr>
              <w:t>UMA</w:t>
            </w:r>
          </w:p>
        </w:tc>
        <w:tc>
          <w:tcPr>
            <w:tcW w:w="1894" w:type="dxa"/>
          </w:tcPr>
          <w:p w14:paraId="139FA685" w14:textId="77777777" w:rsidR="00037961" w:rsidRPr="00B0287F" w:rsidRDefault="00037961" w:rsidP="00092FF9">
            <w:pPr>
              <w:keepNext/>
              <w:keepLines/>
              <w:spacing w:before="60" w:after="60"/>
              <w:jc w:val="center"/>
              <w:outlineLvl w:val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  <w:highlight w:val="cyan"/>
              </w:rPr>
            </w:pPr>
            <w:r w:rsidRPr="00B0287F">
              <w:rPr>
                <w:rFonts w:ascii="Gotham Book" w:eastAsiaTheme="majorEastAsia" w:hAnsi="Gotham Book" w:cstheme="majorBidi"/>
                <w:color w:val="272727" w:themeColor="text1" w:themeTint="D8"/>
                <w:sz w:val="21"/>
                <w:szCs w:val="21"/>
              </w:rPr>
              <w:t>PESOS $</w:t>
            </w:r>
          </w:p>
        </w:tc>
      </w:tr>
      <w:tr w:rsidR="00037961" w:rsidRPr="00B0287F" w14:paraId="2A192BE1" w14:textId="77777777" w:rsidTr="00092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1" w:type="dxa"/>
          </w:tcPr>
          <w:p w14:paraId="71E3A199" w14:textId="77777777" w:rsidR="00037961" w:rsidRPr="00B0287F" w:rsidRDefault="00037961" w:rsidP="00092FF9">
            <w:pPr>
              <w:spacing w:before="60" w:after="60"/>
              <w:jc w:val="both"/>
              <w:rPr>
                <w:rFonts w:ascii="Gotham Book" w:eastAsia="Calibri" w:hAnsi="Gotham Book" w:cs="Arial"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sz w:val="18"/>
                <w:szCs w:val="18"/>
              </w:rPr>
              <w:t>Expedición de Constancia de Evaluación de Riesgo</w:t>
            </w:r>
          </w:p>
        </w:tc>
        <w:tc>
          <w:tcPr>
            <w:tcW w:w="1893" w:type="dxa"/>
          </w:tcPr>
          <w:p w14:paraId="44BB6EAE" w14:textId="77777777" w:rsidR="00037961" w:rsidRPr="00B0287F" w:rsidRDefault="00037961" w:rsidP="00092FF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alibri" w:hAnsi="Gotham Book" w:cs="Arial"/>
                <w:b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b/>
                <w:sz w:val="18"/>
                <w:szCs w:val="18"/>
              </w:rPr>
              <w:t>3.00</w:t>
            </w:r>
          </w:p>
        </w:tc>
        <w:tc>
          <w:tcPr>
            <w:tcW w:w="1894" w:type="dxa"/>
          </w:tcPr>
          <w:p w14:paraId="6591EC0A" w14:textId="77777777" w:rsidR="00037961" w:rsidRPr="00B0287F" w:rsidRDefault="00037961" w:rsidP="00092FF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 Book" w:eastAsia="Calibri" w:hAnsi="Gotham Book" w:cs="Arial"/>
                <w:b/>
                <w:sz w:val="18"/>
                <w:szCs w:val="18"/>
              </w:rPr>
            </w:pPr>
            <w:r w:rsidRPr="00B0287F">
              <w:rPr>
                <w:rFonts w:ascii="Gotham Book" w:eastAsia="Calibri" w:hAnsi="Gotham Book" w:cs="Arial"/>
                <w:b/>
                <w:sz w:val="18"/>
                <w:szCs w:val="18"/>
              </w:rPr>
              <w:t>$        2</w:t>
            </w:r>
            <w:r>
              <w:rPr>
                <w:rFonts w:ascii="Gotham Book" w:eastAsia="Calibri" w:hAnsi="Gotham Book" w:cs="Arial"/>
                <w:b/>
                <w:sz w:val="18"/>
                <w:szCs w:val="18"/>
              </w:rPr>
              <w:t>61.00</w:t>
            </w:r>
          </w:p>
        </w:tc>
      </w:tr>
    </w:tbl>
    <w:p w14:paraId="368D871E" w14:textId="77777777" w:rsidR="00B5632E" w:rsidRDefault="00B5632E" w:rsidP="0029574A">
      <w:pPr>
        <w:rPr>
          <w:rFonts w:ascii="Gotham Book" w:eastAsia="Calibri" w:hAnsi="Gotham Book" w:cs="Times New Roman"/>
          <w:b/>
        </w:rPr>
      </w:pPr>
    </w:p>
    <w:p w14:paraId="4F3693E7" w14:textId="1FFFE1FE" w:rsidR="00BA2FC3" w:rsidRPr="0029574A" w:rsidRDefault="00037961" w:rsidP="0029574A">
      <w:r w:rsidRPr="00B0287F">
        <w:rPr>
          <w:rFonts w:ascii="Gotham Book" w:eastAsia="Calibri" w:hAnsi="Gotham Book" w:cs="Times New Roman"/>
          <w:b/>
        </w:rPr>
        <w:t>VIGENCIA</w:t>
      </w:r>
      <w:r w:rsidRPr="00B0287F">
        <w:rPr>
          <w:rFonts w:ascii="Gotham Book" w:eastAsia="Calibri" w:hAnsi="Gotham Book" w:cs="Times New Roman"/>
        </w:rPr>
        <w:t>: Un año</w:t>
      </w:r>
      <w:bookmarkStart w:id="0" w:name="_GoBack"/>
      <w:bookmarkEnd w:id="0"/>
    </w:p>
    <w:sectPr w:rsidR="00BA2FC3" w:rsidRPr="0029574A" w:rsidSect="00BA2FC3">
      <w:headerReference w:type="default" r:id="rId7"/>
      <w:pgSz w:w="12240" w:h="15840" w:code="1"/>
      <w:pgMar w:top="2268" w:right="1183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BBAAB" w14:textId="77777777" w:rsidR="00E9407C" w:rsidRDefault="00E9407C" w:rsidP="00665B8A">
      <w:pPr>
        <w:spacing w:after="0" w:line="240" w:lineRule="auto"/>
      </w:pPr>
      <w:r>
        <w:separator/>
      </w:r>
    </w:p>
  </w:endnote>
  <w:endnote w:type="continuationSeparator" w:id="0">
    <w:p w14:paraId="7BB88ED4" w14:textId="77777777" w:rsidR="00E9407C" w:rsidRDefault="00E9407C" w:rsidP="0066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D165C" w14:textId="77777777" w:rsidR="00E9407C" w:rsidRDefault="00E9407C" w:rsidP="00665B8A">
      <w:pPr>
        <w:spacing w:after="0" w:line="240" w:lineRule="auto"/>
      </w:pPr>
      <w:r>
        <w:separator/>
      </w:r>
    </w:p>
  </w:footnote>
  <w:footnote w:type="continuationSeparator" w:id="0">
    <w:p w14:paraId="0C0C9726" w14:textId="77777777" w:rsidR="00E9407C" w:rsidRDefault="00E9407C" w:rsidP="0066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4F2DF" w14:textId="77777777" w:rsidR="00665B8A" w:rsidRDefault="00556012" w:rsidP="00556012">
    <w:pPr>
      <w:pStyle w:val="Encabezado"/>
      <w:tabs>
        <w:tab w:val="clear" w:pos="8838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8C96A6F" wp14:editId="492C470E">
          <wp:simplePos x="0" y="0"/>
          <wp:positionH relativeFrom="page">
            <wp:posOffset>133350</wp:posOffset>
          </wp:positionH>
          <wp:positionV relativeFrom="paragraph">
            <wp:posOffset>-421005</wp:posOffset>
          </wp:positionV>
          <wp:extent cx="7454202" cy="9572625"/>
          <wp:effectExtent l="0" t="0" r="0" b="0"/>
          <wp:wrapNone/>
          <wp:docPr id="3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_direccion_atencion_a_las_muje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4202" cy="957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D674D"/>
    <w:multiLevelType w:val="hybridMultilevel"/>
    <w:tmpl w:val="7C681B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E7A05"/>
    <w:multiLevelType w:val="hybridMultilevel"/>
    <w:tmpl w:val="3CBEBF2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35BA8"/>
    <w:multiLevelType w:val="hybridMultilevel"/>
    <w:tmpl w:val="2CE82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7432E"/>
    <w:multiLevelType w:val="hybridMultilevel"/>
    <w:tmpl w:val="9F7E32B4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8A"/>
    <w:rsid w:val="00037961"/>
    <w:rsid w:val="00166F41"/>
    <w:rsid w:val="0018290D"/>
    <w:rsid w:val="00194D53"/>
    <w:rsid w:val="002110A7"/>
    <w:rsid w:val="0021260A"/>
    <w:rsid w:val="00257C2D"/>
    <w:rsid w:val="0029574A"/>
    <w:rsid w:val="002C563A"/>
    <w:rsid w:val="00347836"/>
    <w:rsid w:val="003672D2"/>
    <w:rsid w:val="003E2D9C"/>
    <w:rsid w:val="00433109"/>
    <w:rsid w:val="00476193"/>
    <w:rsid w:val="00480845"/>
    <w:rsid w:val="004A1948"/>
    <w:rsid w:val="004B4752"/>
    <w:rsid w:val="00556012"/>
    <w:rsid w:val="00657E0E"/>
    <w:rsid w:val="00665B8A"/>
    <w:rsid w:val="0082197A"/>
    <w:rsid w:val="00854503"/>
    <w:rsid w:val="00862B31"/>
    <w:rsid w:val="008952D5"/>
    <w:rsid w:val="00922912"/>
    <w:rsid w:val="00985B74"/>
    <w:rsid w:val="00A127D7"/>
    <w:rsid w:val="00AE395B"/>
    <w:rsid w:val="00B3701A"/>
    <w:rsid w:val="00B5632E"/>
    <w:rsid w:val="00B945F3"/>
    <w:rsid w:val="00BA2FC3"/>
    <w:rsid w:val="00BC089F"/>
    <w:rsid w:val="00BC1C2B"/>
    <w:rsid w:val="00C4740A"/>
    <w:rsid w:val="00CB46BB"/>
    <w:rsid w:val="00D16AA6"/>
    <w:rsid w:val="00D260A9"/>
    <w:rsid w:val="00D86A40"/>
    <w:rsid w:val="00D945C5"/>
    <w:rsid w:val="00D95F5F"/>
    <w:rsid w:val="00E47248"/>
    <w:rsid w:val="00E9407C"/>
    <w:rsid w:val="00EB528C"/>
    <w:rsid w:val="00ED76C2"/>
    <w:rsid w:val="00F70E40"/>
    <w:rsid w:val="00F807BA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EE5DF"/>
  <w15:docId w15:val="{3D570FC0-32D8-44F3-87EF-BE88AEE6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9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B8A"/>
  </w:style>
  <w:style w:type="paragraph" w:styleId="Piedepgina">
    <w:name w:val="footer"/>
    <w:basedOn w:val="Normal"/>
    <w:link w:val="PiedepginaCar"/>
    <w:uiPriority w:val="99"/>
    <w:unhideWhenUsed/>
    <w:rsid w:val="00665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B8A"/>
  </w:style>
  <w:style w:type="paragraph" w:styleId="Textodeglobo">
    <w:name w:val="Balloon Text"/>
    <w:basedOn w:val="Normal"/>
    <w:link w:val="TextodegloboCar"/>
    <w:uiPriority w:val="99"/>
    <w:semiHidden/>
    <w:unhideWhenUsed/>
    <w:rsid w:val="0055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012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BA2FC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Proteccion6</cp:lastModifiedBy>
  <cp:revision>3</cp:revision>
  <dcterms:created xsi:type="dcterms:W3CDTF">2021-01-26T19:47:00Z</dcterms:created>
  <dcterms:modified xsi:type="dcterms:W3CDTF">2021-01-26T19:57:00Z</dcterms:modified>
</cp:coreProperties>
</file>