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72ADF" w14:textId="77777777" w:rsidR="005E54D7" w:rsidRDefault="005E54D7" w:rsidP="005E54D7">
      <w:pPr>
        <w:pStyle w:val="Ttulo1"/>
        <w:spacing w:before="0" w:beforeAutospacing="0" w:line="240" w:lineRule="auto"/>
      </w:pPr>
      <w:r w:rsidRPr="005E54D7">
        <w:t>Informe Estadístico de Gasto e Inversión en Servicios Municipales</w:t>
      </w:r>
      <w:r>
        <w:t xml:space="preserve"> </w:t>
      </w:r>
    </w:p>
    <w:p w14:paraId="189499CF" w14:textId="77777777" w:rsidR="005E54D7" w:rsidRDefault="005E54D7" w:rsidP="005E54D7">
      <w:pPr>
        <w:pStyle w:val="Ttulo1"/>
        <w:spacing w:before="0" w:beforeAutospacing="0" w:line="240" w:lineRule="auto"/>
      </w:pPr>
      <w:r>
        <w:t>2022-2024</w:t>
      </w:r>
    </w:p>
    <w:p w14:paraId="17DD6A27" w14:textId="77777777" w:rsidR="005E54D7" w:rsidRDefault="005E54D7" w:rsidP="005E54D7">
      <w:pPr>
        <w:pStyle w:val="Ttulo2"/>
      </w:pPr>
    </w:p>
    <w:p w14:paraId="243E0661" w14:textId="77777777" w:rsidR="005E54D7" w:rsidRDefault="005E54D7" w:rsidP="005E54D7">
      <w:pPr>
        <w:pStyle w:val="Ttulo2"/>
      </w:pPr>
      <w:r>
        <w:t>Resumen de inversión por servicio</w:t>
      </w:r>
    </w:p>
    <w:p w14:paraId="7A877128" w14:textId="77777777" w:rsidR="005E54D7" w:rsidRDefault="005E54D7" w:rsidP="005E54D7">
      <w:pPr>
        <w:spacing w:before="0" w:line="259" w:lineRule="auto"/>
        <w:rPr>
          <w:b/>
          <w:bCs/>
          <w:noProof/>
          <w:sz w:val="20"/>
          <w:szCs w:val="20"/>
        </w:rPr>
      </w:pP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1701"/>
        <w:gridCol w:w="1701"/>
        <w:gridCol w:w="1843"/>
        <w:gridCol w:w="1701"/>
      </w:tblGrid>
      <w:tr w:rsidR="005E54D7" w:rsidRPr="00DD6589" w14:paraId="2AA93A9D" w14:textId="77777777" w:rsidTr="009F5A9A">
        <w:trPr>
          <w:trHeight w:val="495"/>
        </w:trPr>
        <w:tc>
          <w:tcPr>
            <w:tcW w:w="29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390CF508" w14:textId="77777777" w:rsidR="005E54D7" w:rsidRPr="00DD6589" w:rsidRDefault="005E54D7" w:rsidP="009F5A9A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color w:val="C00000"/>
                <w:sz w:val="24"/>
                <w:lang w:val="es-MX" w:eastAsia="es-MX"/>
              </w:rPr>
            </w:pPr>
            <w:r w:rsidRPr="00DD6589">
              <w:rPr>
                <w:rFonts w:eastAsia="Times New Roman" w:cs="Calibri"/>
                <w:b/>
                <w:bCs/>
                <w:color w:val="C00000"/>
                <w:sz w:val="24"/>
                <w:lang w:val="es-MX" w:eastAsia="es-MX"/>
              </w:rPr>
              <w:t>Tipo de Servicio</w:t>
            </w:r>
          </w:p>
        </w:tc>
        <w:tc>
          <w:tcPr>
            <w:tcW w:w="69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BE4D5"/>
            <w:vAlign w:val="center"/>
            <w:hideMark/>
          </w:tcPr>
          <w:p w14:paraId="41210428" w14:textId="77777777" w:rsidR="005E54D7" w:rsidRPr="00DD6589" w:rsidRDefault="005E54D7" w:rsidP="009F5A9A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C00000"/>
                <w:sz w:val="24"/>
                <w:lang w:val="es-MX" w:eastAsia="es-MX"/>
              </w:rPr>
            </w:pPr>
            <w:r w:rsidRPr="00DD6589">
              <w:rPr>
                <w:rFonts w:eastAsia="Times New Roman" w:cs="Calibri"/>
                <w:b/>
                <w:bCs/>
                <w:color w:val="C00000"/>
                <w:sz w:val="24"/>
                <w:lang w:val="es-MX" w:eastAsia="es-MX"/>
              </w:rPr>
              <w:t>Inversión en millones de pesos</w:t>
            </w:r>
          </w:p>
        </w:tc>
      </w:tr>
      <w:tr w:rsidR="005E54D7" w:rsidRPr="00DD6589" w14:paraId="538DC8EA" w14:textId="77777777" w:rsidTr="009F5A9A">
        <w:trPr>
          <w:trHeight w:val="645"/>
        </w:trPr>
        <w:tc>
          <w:tcPr>
            <w:tcW w:w="29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3A68D6" w14:textId="77777777" w:rsidR="005E54D7" w:rsidRPr="00DD6589" w:rsidRDefault="005E54D7" w:rsidP="009F5A9A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color w:val="C00000"/>
                <w:sz w:val="24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10D49E61" w14:textId="77777777" w:rsidR="005E54D7" w:rsidRPr="00DD6589" w:rsidRDefault="005E54D7" w:rsidP="009F5A9A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C00000"/>
                <w:sz w:val="24"/>
                <w:lang w:val="es-MX" w:eastAsia="es-MX"/>
              </w:rPr>
            </w:pPr>
            <w:r w:rsidRPr="00DD6589">
              <w:rPr>
                <w:rFonts w:eastAsia="Times New Roman" w:cs="Calibri"/>
                <w:b/>
                <w:bCs/>
                <w:color w:val="C00000"/>
                <w:sz w:val="24"/>
                <w:lang w:val="es-MX" w:eastAsia="es-MX"/>
              </w:rPr>
              <w:t>Operación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47CCB166" w14:textId="77777777" w:rsidR="005E54D7" w:rsidRPr="00DD6589" w:rsidRDefault="005E54D7" w:rsidP="009F5A9A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C00000"/>
                <w:sz w:val="24"/>
                <w:lang w:val="es-MX" w:eastAsia="es-MX"/>
              </w:rPr>
            </w:pPr>
            <w:r w:rsidRPr="00DD6589">
              <w:rPr>
                <w:rFonts w:eastAsia="Times New Roman" w:cs="Calibri"/>
                <w:b/>
                <w:bCs/>
                <w:color w:val="C00000"/>
                <w:sz w:val="24"/>
                <w:lang w:val="es-MX" w:eastAsia="es-MX"/>
              </w:rPr>
              <w:t>Equipamiento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12BE7ECF" w14:textId="77777777" w:rsidR="005E54D7" w:rsidRPr="00DD6589" w:rsidRDefault="005E54D7" w:rsidP="009F5A9A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C00000"/>
                <w:sz w:val="24"/>
                <w:lang w:val="es-MX" w:eastAsia="es-MX"/>
              </w:rPr>
            </w:pPr>
            <w:r w:rsidRPr="00DD6589">
              <w:rPr>
                <w:rFonts w:eastAsia="Times New Roman" w:cs="Calibri"/>
                <w:b/>
                <w:bCs/>
                <w:color w:val="C00000"/>
                <w:sz w:val="24"/>
                <w:lang w:val="es-MX" w:eastAsia="es-MX"/>
              </w:rPr>
              <w:t>Infraestructura*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31137C21" w14:textId="77777777" w:rsidR="005E54D7" w:rsidRPr="00DD6589" w:rsidRDefault="005E54D7" w:rsidP="009F5A9A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C00000"/>
                <w:sz w:val="24"/>
                <w:lang w:val="es-MX" w:eastAsia="es-MX"/>
              </w:rPr>
            </w:pPr>
            <w:r w:rsidRPr="00DD6589">
              <w:rPr>
                <w:rFonts w:eastAsia="Times New Roman" w:cs="Calibri"/>
                <w:b/>
                <w:bCs/>
                <w:color w:val="C00000"/>
                <w:sz w:val="24"/>
                <w:lang w:val="es-MX" w:eastAsia="es-MX"/>
              </w:rPr>
              <w:t>Total</w:t>
            </w:r>
          </w:p>
        </w:tc>
      </w:tr>
      <w:tr w:rsidR="005E54D7" w:rsidRPr="00DD6589" w14:paraId="17447B6E" w14:textId="77777777" w:rsidTr="009F5A9A">
        <w:trPr>
          <w:trHeight w:val="64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1AB6D" w14:textId="77777777" w:rsidR="005E54D7" w:rsidRPr="00DD6589" w:rsidRDefault="005E54D7" w:rsidP="009F5A9A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lang w:val="es-MX" w:eastAsia="es-MX"/>
              </w:rPr>
            </w:pPr>
            <w:r w:rsidRPr="00DD6589">
              <w:rPr>
                <w:rFonts w:eastAsia="Times New Roman" w:cs="Calibri"/>
                <w:b/>
                <w:bCs/>
                <w:color w:val="000000"/>
                <w:sz w:val="24"/>
                <w:lang w:val="es-MX" w:eastAsia="es-MX"/>
              </w:rPr>
              <w:t>Residuos Sólidos Urbanos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FA3616" w14:textId="77777777" w:rsidR="005E54D7" w:rsidRPr="00DD6589" w:rsidRDefault="005E54D7" w:rsidP="009F5A9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24"/>
                <w:lang w:val="es-MX" w:eastAsia="es-MX"/>
              </w:rPr>
            </w:pPr>
            <w:r w:rsidRPr="00DD6589">
              <w:rPr>
                <w:rFonts w:eastAsia="Times New Roman" w:cs="Calibri"/>
                <w:color w:val="000000"/>
                <w:sz w:val="24"/>
                <w:lang w:val="es-MX" w:eastAsia="es-MX"/>
              </w:rPr>
              <w:t xml:space="preserve">1,617.3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F9BA65" w14:textId="77777777" w:rsidR="005E54D7" w:rsidRPr="00DD6589" w:rsidRDefault="005E54D7" w:rsidP="009F5A9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24"/>
                <w:lang w:val="es-MX" w:eastAsia="es-MX"/>
              </w:rPr>
            </w:pPr>
            <w:r w:rsidRPr="00DD6589">
              <w:rPr>
                <w:rFonts w:eastAsia="Times New Roman" w:cs="Calibri"/>
                <w:color w:val="000000"/>
                <w:sz w:val="24"/>
                <w:lang w:val="es-MX" w:eastAsia="es-MX"/>
              </w:rPr>
              <w:t xml:space="preserve">45.4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706FDA" w14:textId="77777777" w:rsidR="005E54D7" w:rsidRPr="00DD6589" w:rsidRDefault="005E54D7" w:rsidP="009F5A9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24"/>
                <w:lang w:val="es-MX" w:eastAsia="es-MX"/>
              </w:rPr>
            </w:pPr>
            <w:r w:rsidRPr="00DD6589">
              <w:rPr>
                <w:rFonts w:eastAsia="Times New Roman" w:cs="Calibri"/>
                <w:color w:val="000000"/>
                <w:sz w:val="24"/>
                <w:lang w:val="es-MX" w:eastAsia="es-MX"/>
              </w:rPr>
              <w:t xml:space="preserve">82.6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7FAE0A" w14:textId="77777777" w:rsidR="005E54D7" w:rsidRPr="00DD6589" w:rsidRDefault="005E54D7" w:rsidP="009F5A9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24"/>
                <w:lang w:val="es-MX" w:eastAsia="es-MX"/>
              </w:rPr>
            </w:pPr>
            <w:r w:rsidRPr="00DD6589">
              <w:rPr>
                <w:rFonts w:eastAsia="Times New Roman" w:cs="Calibri"/>
                <w:color w:val="000000"/>
                <w:sz w:val="24"/>
                <w:lang w:val="es-MX" w:eastAsia="es-MX"/>
              </w:rPr>
              <w:t xml:space="preserve">1,745.3 </w:t>
            </w:r>
          </w:p>
        </w:tc>
      </w:tr>
      <w:tr w:rsidR="005E54D7" w:rsidRPr="00DD6589" w14:paraId="3E1F69A5" w14:textId="77777777" w:rsidTr="009F5A9A">
        <w:trPr>
          <w:trHeight w:val="64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FF939" w14:textId="77777777" w:rsidR="005E54D7" w:rsidRPr="00DD6589" w:rsidRDefault="005E54D7" w:rsidP="009F5A9A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lang w:val="es-MX" w:eastAsia="es-MX"/>
              </w:rPr>
            </w:pPr>
            <w:r w:rsidRPr="00DD6589">
              <w:rPr>
                <w:rFonts w:eastAsia="Times New Roman" w:cs="Calibri"/>
                <w:b/>
                <w:bCs/>
                <w:color w:val="000000"/>
                <w:sz w:val="24"/>
                <w:lang w:val="es-MX" w:eastAsia="es-MX"/>
              </w:rPr>
              <w:t>Alumbrado Público 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48E220" w14:textId="77777777" w:rsidR="005E54D7" w:rsidRPr="00DD6589" w:rsidRDefault="005E54D7" w:rsidP="009F5A9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24"/>
                <w:lang w:val="es-MX" w:eastAsia="es-MX"/>
              </w:rPr>
            </w:pPr>
            <w:r w:rsidRPr="00DD6589">
              <w:rPr>
                <w:rFonts w:eastAsia="Times New Roman" w:cs="Calibri"/>
                <w:color w:val="000000"/>
                <w:sz w:val="24"/>
                <w:lang w:val="es-MX" w:eastAsia="es-MX"/>
              </w:rPr>
              <w:t xml:space="preserve">517.4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17C2B0" w14:textId="77777777" w:rsidR="005E54D7" w:rsidRPr="00DD6589" w:rsidRDefault="005E54D7" w:rsidP="009F5A9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24"/>
                <w:lang w:val="es-MX" w:eastAsia="es-MX"/>
              </w:rPr>
            </w:pPr>
            <w:r w:rsidRPr="00DD6589">
              <w:rPr>
                <w:rFonts w:eastAsia="Times New Roman" w:cs="Calibri"/>
                <w:color w:val="000000"/>
                <w:sz w:val="24"/>
                <w:lang w:val="es-MX" w:eastAsia="es-MX"/>
              </w:rPr>
              <w:t xml:space="preserve">0.0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94A457" w14:textId="77777777" w:rsidR="005E54D7" w:rsidRPr="00DD6589" w:rsidRDefault="005E54D7" w:rsidP="009F5A9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24"/>
                <w:lang w:val="es-MX" w:eastAsia="es-MX"/>
              </w:rPr>
            </w:pPr>
            <w:r w:rsidRPr="00DD6589">
              <w:rPr>
                <w:rFonts w:eastAsia="Times New Roman" w:cs="Calibri"/>
                <w:color w:val="000000"/>
                <w:sz w:val="24"/>
                <w:lang w:val="es-MX" w:eastAsia="es-MX"/>
              </w:rPr>
              <w:t xml:space="preserve">194.5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71859C" w14:textId="77777777" w:rsidR="005E54D7" w:rsidRPr="00DD6589" w:rsidRDefault="005E54D7" w:rsidP="009F5A9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24"/>
                <w:lang w:val="es-MX" w:eastAsia="es-MX"/>
              </w:rPr>
            </w:pPr>
            <w:r w:rsidRPr="00DD6589">
              <w:rPr>
                <w:rFonts w:eastAsia="Times New Roman" w:cs="Calibri"/>
                <w:color w:val="000000"/>
                <w:sz w:val="24"/>
                <w:lang w:val="es-MX" w:eastAsia="es-MX"/>
              </w:rPr>
              <w:t xml:space="preserve">711.8 </w:t>
            </w:r>
          </w:p>
        </w:tc>
      </w:tr>
      <w:tr w:rsidR="005E54D7" w:rsidRPr="00DD6589" w14:paraId="6CADE015" w14:textId="77777777" w:rsidTr="009F5A9A">
        <w:trPr>
          <w:trHeight w:val="64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4ACB7" w14:textId="77777777" w:rsidR="005E54D7" w:rsidRPr="00DD6589" w:rsidRDefault="005E54D7" w:rsidP="009F5A9A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lang w:val="es-MX" w:eastAsia="es-MX"/>
              </w:rPr>
            </w:pPr>
            <w:r w:rsidRPr="00DD6589">
              <w:rPr>
                <w:rFonts w:eastAsia="Times New Roman" w:cs="Calibri"/>
                <w:b/>
                <w:bCs/>
                <w:color w:val="000000"/>
                <w:sz w:val="24"/>
                <w:lang w:val="es-MX" w:eastAsia="es-MX"/>
              </w:rPr>
              <w:t>Agua Potable, Drenaje y Alcantarillado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02D726" w14:textId="77777777" w:rsidR="005E54D7" w:rsidRPr="00DD6589" w:rsidRDefault="005E54D7" w:rsidP="009F5A9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24"/>
                <w:lang w:val="es-MX" w:eastAsia="es-MX"/>
              </w:rPr>
            </w:pPr>
            <w:r w:rsidRPr="00DD6589">
              <w:rPr>
                <w:rFonts w:eastAsia="Times New Roman" w:cs="Calibri"/>
                <w:color w:val="000000"/>
                <w:sz w:val="24"/>
                <w:lang w:val="es-MX" w:eastAsia="es-MX"/>
              </w:rPr>
              <w:t xml:space="preserve">2,152.9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04B183" w14:textId="77777777" w:rsidR="005E54D7" w:rsidRPr="00DD6589" w:rsidRDefault="005E54D7" w:rsidP="009F5A9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24"/>
                <w:lang w:val="es-MX" w:eastAsia="es-MX"/>
              </w:rPr>
            </w:pPr>
            <w:r w:rsidRPr="00DD6589">
              <w:rPr>
                <w:rFonts w:eastAsia="Times New Roman" w:cs="Calibri"/>
                <w:color w:val="000000"/>
                <w:sz w:val="24"/>
                <w:lang w:val="es-MX" w:eastAsia="es-MX"/>
              </w:rPr>
              <w:t xml:space="preserve">42.6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1AA6DC" w14:textId="77777777" w:rsidR="005E54D7" w:rsidRPr="00DD6589" w:rsidRDefault="005E54D7" w:rsidP="009F5A9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24"/>
                <w:lang w:val="es-MX" w:eastAsia="es-MX"/>
              </w:rPr>
            </w:pPr>
            <w:r w:rsidRPr="00DD6589">
              <w:rPr>
                <w:rFonts w:eastAsia="Times New Roman" w:cs="Calibri"/>
                <w:color w:val="000000"/>
                <w:sz w:val="24"/>
                <w:lang w:val="es-MX" w:eastAsia="es-MX"/>
              </w:rPr>
              <w:t xml:space="preserve">1,621.4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802F92" w14:textId="77777777" w:rsidR="005E54D7" w:rsidRPr="00DD6589" w:rsidRDefault="005E54D7" w:rsidP="009F5A9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24"/>
                <w:lang w:val="es-MX" w:eastAsia="es-MX"/>
              </w:rPr>
            </w:pPr>
            <w:r w:rsidRPr="00DD6589">
              <w:rPr>
                <w:rFonts w:eastAsia="Times New Roman" w:cs="Calibri"/>
                <w:color w:val="000000"/>
                <w:sz w:val="24"/>
                <w:lang w:val="es-MX" w:eastAsia="es-MX"/>
              </w:rPr>
              <w:t xml:space="preserve">3,816.9 </w:t>
            </w:r>
          </w:p>
        </w:tc>
      </w:tr>
      <w:tr w:rsidR="005E54D7" w:rsidRPr="00DD6589" w14:paraId="1D4B301F" w14:textId="77777777" w:rsidTr="009F5A9A">
        <w:trPr>
          <w:trHeight w:val="64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A82FB" w14:textId="77777777" w:rsidR="005E54D7" w:rsidRPr="00DD6589" w:rsidRDefault="005E54D7" w:rsidP="009F5A9A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lang w:val="es-MX" w:eastAsia="es-MX"/>
              </w:rPr>
            </w:pPr>
            <w:r w:rsidRPr="00DD6589">
              <w:rPr>
                <w:rFonts w:eastAsia="Times New Roman" w:cs="Calibri"/>
                <w:b/>
                <w:bCs/>
                <w:color w:val="000000"/>
                <w:sz w:val="24"/>
                <w:lang w:val="es-MX" w:eastAsia="es-MX"/>
              </w:rPr>
              <w:t>Parque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lang w:val="es-MX" w:eastAsia="es-MX"/>
              </w:rPr>
              <w:t>s</w:t>
            </w:r>
            <w:r w:rsidRPr="00DD6589">
              <w:rPr>
                <w:rFonts w:eastAsia="Times New Roman" w:cs="Calibri"/>
                <w:b/>
                <w:bCs/>
                <w:color w:val="000000"/>
                <w:sz w:val="24"/>
                <w:lang w:val="es-MX" w:eastAsia="es-MX"/>
              </w:rPr>
              <w:t xml:space="preserve"> y Jardines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FFD30B" w14:textId="77777777" w:rsidR="005E54D7" w:rsidRPr="00DD6589" w:rsidRDefault="005E54D7" w:rsidP="009F5A9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24"/>
                <w:lang w:val="es-MX" w:eastAsia="es-MX"/>
              </w:rPr>
            </w:pPr>
            <w:r w:rsidRPr="00DD6589">
              <w:rPr>
                <w:rFonts w:eastAsia="Times New Roman" w:cs="Calibri"/>
                <w:color w:val="000000"/>
                <w:sz w:val="24"/>
                <w:lang w:val="es-MX" w:eastAsia="es-MX"/>
              </w:rPr>
              <w:t xml:space="preserve">516.4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500A24" w14:textId="77777777" w:rsidR="005E54D7" w:rsidRPr="00DD6589" w:rsidRDefault="005E54D7" w:rsidP="009F5A9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24"/>
                <w:lang w:val="es-MX" w:eastAsia="es-MX"/>
              </w:rPr>
            </w:pPr>
            <w:r w:rsidRPr="00DD6589">
              <w:rPr>
                <w:rFonts w:eastAsia="Times New Roman" w:cs="Calibri"/>
                <w:color w:val="000000"/>
                <w:sz w:val="24"/>
                <w:lang w:val="es-MX" w:eastAsia="es-MX"/>
              </w:rPr>
              <w:t xml:space="preserve">17.8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A1C2F2" w14:textId="77777777" w:rsidR="005E54D7" w:rsidRPr="00DD6589" w:rsidRDefault="005E54D7" w:rsidP="009F5A9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24"/>
                <w:lang w:val="es-MX" w:eastAsia="es-MX"/>
              </w:rPr>
            </w:pPr>
            <w:r w:rsidRPr="00DD6589">
              <w:rPr>
                <w:rFonts w:eastAsia="Times New Roman" w:cs="Calibri"/>
                <w:color w:val="000000"/>
                <w:sz w:val="24"/>
                <w:lang w:val="es-MX" w:eastAsia="es-MX"/>
              </w:rPr>
              <w:t xml:space="preserve">119.7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C09CC5" w14:textId="77777777" w:rsidR="005E54D7" w:rsidRPr="00DD6589" w:rsidRDefault="005E54D7" w:rsidP="009F5A9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24"/>
                <w:lang w:val="es-MX" w:eastAsia="es-MX"/>
              </w:rPr>
            </w:pPr>
            <w:r w:rsidRPr="00DD6589">
              <w:rPr>
                <w:rFonts w:eastAsia="Times New Roman" w:cs="Calibri"/>
                <w:color w:val="000000"/>
                <w:sz w:val="24"/>
                <w:lang w:val="es-MX" w:eastAsia="es-MX"/>
              </w:rPr>
              <w:t xml:space="preserve">653.9 </w:t>
            </w:r>
          </w:p>
        </w:tc>
      </w:tr>
      <w:tr w:rsidR="005E54D7" w:rsidRPr="00DD6589" w14:paraId="642B7115" w14:textId="77777777" w:rsidTr="009F5A9A">
        <w:trPr>
          <w:trHeight w:val="64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1E715" w14:textId="77777777" w:rsidR="005E54D7" w:rsidRPr="00DD6589" w:rsidRDefault="005E54D7" w:rsidP="009F5A9A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lang w:val="es-MX" w:eastAsia="es-MX"/>
              </w:rPr>
            </w:pPr>
            <w:r w:rsidRPr="00DD6589">
              <w:rPr>
                <w:rFonts w:eastAsia="Times New Roman" w:cs="Calibri"/>
                <w:b/>
                <w:bCs/>
                <w:color w:val="000000"/>
                <w:sz w:val="24"/>
                <w:lang w:val="es-MX" w:eastAsia="es-MX"/>
              </w:rPr>
              <w:t xml:space="preserve">Mercados Públicos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8AF7F4" w14:textId="77777777" w:rsidR="005E54D7" w:rsidRPr="00DD6589" w:rsidRDefault="005E54D7" w:rsidP="009F5A9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24"/>
                <w:lang w:val="es-MX" w:eastAsia="es-MX"/>
              </w:rPr>
            </w:pPr>
            <w:r w:rsidRPr="00DD6589">
              <w:rPr>
                <w:rFonts w:eastAsia="Times New Roman" w:cs="Calibri"/>
                <w:color w:val="000000"/>
                <w:sz w:val="24"/>
                <w:lang w:val="es-MX" w:eastAsia="es-MX"/>
              </w:rPr>
              <w:t xml:space="preserve">160.6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5737FD" w14:textId="77777777" w:rsidR="005E54D7" w:rsidRPr="00DD6589" w:rsidRDefault="005E54D7" w:rsidP="009F5A9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24"/>
                <w:lang w:val="es-MX" w:eastAsia="es-MX"/>
              </w:rPr>
            </w:pPr>
            <w:r w:rsidRPr="00DD6589">
              <w:rPr>
                <w:rFonts w:eastAsia="Times New Roman" w:cs="Calibri"/>
                <w:color w:val="000000"/>
                <w:sz w:val="24"/>
                <w:lang w:val="es-MX" w:eastAsia="es-MX"/>
              </w:rPr>
              <w:t xml:space="preserve">0.1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0BB169" w14:textId="77777777" w:rsidR="005E54D7" w:rsidRPr="00DD6589" w:rsidRDefault="005E54D7" w:rsidP="009F5A9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24"/>
                <w:lang w:val="es-MX" w:eastAsia="es-MX"/>
              </w:rPr>
            </w:pPr>
            <w:r w:rsidRPr="00DD6589">
              <w:rPr>
                <w:rFonts w:eastAsia="Times New Roman" w:cs="Calibri"/>
                <w:color w:val="000000"/>
                <w:sz w:val="24"/>
                <w:lang w:val="es-MX" w:eastAsia="es-MX"/>
              </w:rPr>
              <w:t xml:space="preserve">31.4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A1F471" w14:textId="77777777" w:rsidR="005E54D7" w:rsidRPr="00DD6589" w:rsidRDefault="005E54D7" w:rsidP="009F5A9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24"/>
                <w:lang w:val="es-MX" w:eastAsia="es-MX"/>
              </w:rPr>
            </w:pPr>
            <w:r w:rsidRPr="00DD6589">
              <w:rPr>
                <w:rFonts w:eastAsia="Times New Roman" w:cs="Calibri"/>
                <w:color w:val="000000"/>
                <w:sz w:val="24"/>
                <w:lang w:val="es-MX" w:eastAsia="es-MX"/>
              </w:rPr>
              <w:t xml:space="preserve">192.1 </w:t>
            </w:r>
          </w:p>
        </w:tc>
      </w:tr>
      <w:tr w:rsidR="005E54D7" w:rsidRPr="00DD6589" w14:paraId="6ED4435C" w14:textId="77777777" w:rsidTr="009F5A9A">
        <w:trPr>
          <w:trHeight w:val="64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E3141" w14:textId="77777777" w:rsidR="005E54D7" w:rsidRPr="00DD6589" w:rsidRDefault="005E54D7" w:rsidP="009F5A9A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lang w:val="es-MX" w:eastAsia="es-MX"/>
              </w:rPr>
            </w:pPr>
            <w:r w:rsidRPr="00DD6589">
              <w:rPr>
                <w:rFonts w:eastAsia="Times New Roman" w:cs="Calibri"/>
                <w:b/>
                <w:bCs/>
                <w:color w:val="000000"/>
                <w:sz w:val="24"/>
                <w:lang w:val="es-MX" w:eastAsia="es-MX"/>
              </w:rPr>
              <w:t>Panteones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D489C4" w14:textId="77777777" w:rsidR="005E54D7" w:rsidRPr="00DD6589" w:rsidRDefault="005E54D7" w:rsidP="009F5A9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24"/>
                <w:lang w:val="es-MX" w:eastAsia="es-MX"/>
              </w:rPr>
            </w:pPr>
            <w:r w:rsidRPr="00DD6589">
              <w:rPr>
                <w:rFonts w:eastAsia="Times New Roman" w:cs="Calibri"/>
                <w:color w:val="000000"/>
                <w:sz w:val="24"/>
                <w:lang w:val="es-MX" w:eastAsia="es-MX"/>
              </w:rPr>
              <w:t xml:space="preserve">52.3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B6077B" w14:textId="77777777" w:rsidR="005E54D7" w:rsidRPr="00DD6589" w:rsidRDefault="005E54D7" w:rsidP="009F5A9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24"/>
                <w:lang w:val="es-MX" w:eastAsia="es-MX"/>
              </w:rPr>
            </w:pPr>
            <w:r w:rsidRPr="00DD6589">
              <w:rPr>
                <w:rFonts w:eastAsia="Times New Roman" w:cs="Calibri"/>
                <w:color w:val="000000"/>
                <w:sz w:val="24"/>
                <w:lang w:val="es-MX" w:eastAsia="es-MX"/>
              </w:rPr>
              <w:t xml:space="preserve">0.3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49ED60" w14:textId="77777777" w:rsidR="005E54D7" w:rsidRPr="00DD6589" w:rsidRDefault="005E54D7" w:rsidP="009F5A9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24"/>
                <w:lang w:val="es-MX" w:eastAsia="es-MX"/>
              </w:rPr>
            </w:pPr>
            <w:r w:rsidRPr="00DD6589">
              <w:rPr>
                <w:rFonts w:eastAsia="Times New Roman" w:cs="Calibri"/>
                <w:color w:val="000000"/>
                <w:sz w:val="24"/>
                <w:lang w:val="es-MX" w:eastAsia="es-MX"/>
              </w:rPr>
              <w:t xml:space="preserve">0.0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2440BC" w14:textId="77777777" w:rsidR="005E54D7" w:rsidRPr="00DD6589" w:rsidRDefault="005E54D7" w:rsidP="009F5A9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24"/>
                <w:lang w:val="es-MX" w:eastAsia="es-MX"/>
              </w:rPr>
            </w:pPr>
            <w:r w:rsidRPr="00DD6589">
              <w:rPr>
                <w:rFonts w:eastAsia="Times New Roman" w:cs="Calibri"/>
                <w:color w:val="000000"/>
                <w:sz w:val="24"/>
                <w:lang w:val="es-MX" w:eastAsia="es-MX"/>
              </w:rPr>
              <w:t xml:space="preserve">52.6 </w:t>
            </w:r>
          </w:p>
        </w:tc>
      </w:tr>
      <w:tr w:rsidR="005E54D7" w:rsidRPr="00DD6589" w14:paraId="085A6352" w14:textId="77777777" w:rsidTr="009F5A9A">
        <w:trPr>
          <w:trHeight w:val="48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0000"/>
            <w:vAlign w:val="center"/>
            <w:hideMark/>
          </w:tcPr>
          <w:p w14:paraId="6029232C" w14:textId="77777777" w:rsidR="005E54D7" w:rsidRPr="00DD6589" w:rsidRDefault="005E54D7" w:rsidP="009F5A9A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color w:val="FFFFFF"/>
                <w:sz w:val="24"/>
                <w:lang w:val="es-MX" w:eastAsia="es-MX"/>
              </w:rPr>
            </w:pPr>
            <w:r w:rsidRPr="00DD6589">
              <w:rPr>
                <w:rFonts w:eastAsia="Times New Roman" w:cs="Calibri"/>
                <w:b/>
                <w:bCs/>
                <w:color w:val="FFFFFF"/>
                <w:sz w:val="24"/>
                <w:lang w:val="es-MX" w:eastAsia="es-MX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2537277A" w14:textId="77777777" w:rsidR="005E54D7" w:rsidRPr="00DD6589" w:rsidRDefault="005E54D7" w:rsidP="009F5A9A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24"/>
                <w:lang w:val="es-MX" w:eastAsia="es-MX"/>
              </w:rPr>
            </w:pPr>
            <w:r w:rsidRPr="00DD6589">
              <w:rPr>
                <w:rFonts w:eastAsia="Times New Roman" w:cs="Calibri"/>
                <w:b/>
                <w:bCs/>
                <w:color w:val="FFFFFF"/>
                <w:sz w:val="24"/>
                <w:lang w:val="es-MX" w:eastAsia="es-MX"/>
              </w:rPr>
              <w:t xml:space="preserve">5,016.9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4FF23AA7" w14:textId="77777777" w:rsidR="005E54D7" w:rsidRPr="00DD6589" w:rsidRDefault="005E54D7" w:rsidP="009F5A9A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24"/>
                <w:lang w:val="es-MX" w:eastAsia="es-MX"/>
              </w:rPr>
            </w:pPr>
            <w:r w:rsidRPr="00DD6589">
              <w:rPr>
                <w:rFonts w:eastAsia="Times New Roman" w:cs="Calibri"/>
                <w:b/>
                <w:bCs/>
                <w:color w:val="FFFFFF"/>
                <w:sz w:val="24"/>
                <w:lang w:val="es-MX" w:eastAsia="es-MX"/>
              </w:rPr>
              <w:t xml:space="preserve">106.2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1AC0EF83" w14:textId="77777777" w:rsidR="005E54D7" w:rsidRPr="00DD6589" w:rsidRDefault="005E54D7" w:rsidP="009F5A9A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24"/>
                <w:lang w:val="es-MX" w:eastAsia="es-MX"/>
              </w:rPr>
            </w:pPr>
            <w:r w:rsidRPr="00DD6589">
              <w:rPr>
                <w:rFonts w:eastAsia="Times New Roman" w:cs="Calibri"/>
                <w:b/>
                <w:bCs/>
                <w:color w:val="FFFFFF"/>
                <w:sz w:val="24"/>
                <w:lang w:val="es-MX" w:eastAsia="es-MX"/>
              </w:rPr>
              <w:t xml:space="preserve">2,049.6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76B13C12" w14:textId="77777777" w:rsidR="005E54D7" w:rsidRPr="00DD6589" w:rsidRDefault="005E54D7" w:rsidP="009F5A9A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sz w:val="24"/>
                <w:lang w:val="es-MX" w:eastAsia="es-MX"/>
              </w:rPr>
            </w:pPr>
            <w:r w:rsidRPr="00DD6589">
              <w:rPr>
                <w:rFonts w:eastAsia="Times New Roman" w:cs="Calibri"/>
                <w:b/>
                <w:bCs/>
                <w:color w:val="FFFFFF"/>
                <w:sz w:val="24"/>
                <w:lang w:val="es-MX" w:eastAsia="es-MX"/>
              </w:rPr>
              <w:t xml:space="preserve">7,172.6 </w:t>
            </w:r>
          </w:p>
        </w:tc>
      </w:tr>
      <w:tr w:rsidR="005E54D7" w:rsidRPr="00DD6589" w14:paraId="6B4CA0F7" w14:textId="77777777" w:rsidTr="009F5A9A">
        <w:trPr>
          <w:trHeight w:val="300"/>
        </w:trPr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1001B" w14:textId="77777777" w:rsidR="005E54D7" w:rsidRPr="00DD6589" w:rsidRDefault="005E54D7" w:rsidP="009F5A9A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D6589"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eastAsia="es-MX"/>
              </w:rPr>
              <w:t>* Solo incluye la infraestructura relacionada con estos servicios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DD1F1" w14:textId="77777777" w:rsidR="005E54D7" w:rsidRPr="00DD6589" w:rsidRDefault="005E54D7" w:rsidP="009F5A9A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BE4FD" w14:textId="77777777" w:rsidR="005E54D7" w:rsidRPr="00DD6589" w:rsidRDefault="005E54D7" w:rsidP="009F5A9A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5E54D7" w:rsidRPr="00DD6589" w14:paraId="007B369A" w14:textId="77777777" w:rsidTr="009F5A9A">
        <w:trPr>
          <w:trHeight w:val="300"/>
        </w:trPr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80283" w14:textId="77777777" w:rsidR="005E54D7" w:rsidRPr="00DD6589" w:rsidRDefault="005E54D7" w:rsidP="009F5A9A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D658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** Cifras redondeadas, el total no concuerda con suma de las partes.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55341" w14:textId="77777777" w:rsidR="005E54D7" w:rsidRPr="00DD6589" w:rsidRDefault="005E54D7" w:rsidP="009F5A9A">
            <w:pPr>
              <w:spacing w:before="0"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79B3C" w14:textId="77777777" w:rsidR="005E54D7" w:rsidRPr="00DD6589" w:rsidRDefault="005E54D7" w:rsidP="009F5A9A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11EA5158" w14:textId="17966B23" w:rsidR="005E54D7" w:rsidRDefault="005E54D7" w:rsidP="005E54D7">
      <w:pPr>
        <w:spacing w:before="0" w:line="259" w:lineRule="auto"/>
        <w:rPr>
          <w:b/>
          <w:bCs/>
          <w:noProof/>
          <w:sz w:val="20"/>
          <w:szCs w:val="20"/>
          <w:lang w:val="es-MX"/>
        </w:rPr>
      </w:pPr>
    </w:p>
    <w:p w14:paraId="0098D1A5" w14:textId="01AF55B3" w:rsidR="005E54D7" w:rsidRDefault="005E54D7" w:rsidP="005E54D7">
      <w:pPr>
        <w:spacing w:before="0" w:line="259" w:lineRule="auto"/>
        <w:rPr>
          <w:b/>
          <w:bCs/>
          <w:noProof/>
          <w:sz w:val="20"/>
          <w:szCs w:val="20"/>
          <w:lang w:val="es-MX"/>
        </w:rPr>
      </w:pPr>
    </w:p>
    <w:p w14:paraId="3E7774B1" w14:textId="07C48647" w:rsidR="005E54D7" w:rsidRDefault="005E54D7" w:rsidP="005E54D7">
      <w:pPr>
        <w:spacing w:before="0" w:line="259" w:lineRule="auto"/>
        <w:rPr>
          <w:b/>
          <w:bCs/>
          <w:noProof/>
          <w:sz w:val="20"/>
          <w:szCs w:val="20"/>
          <w:lang w:val="es-MX"/>
        </w:rPr>
      </w:pPr>
    </w:p>
    <w:p w14:paraId="1960001A" w14:textId="12F0A2AA" w:rsidR="005E54D7" w:rsidRDefault="005E54D7" w:rsidP="005E54D7">
      <w:pPr>
        <w:spacing w:before="0" w:line="259" w:lineRule="auto"/>
        <w:rPr>
          <w:b/>
          <w:bCs/>
          <w:noProof/>
          <w:sz w:val="20"/>
          <w:szCs w:val="20"/>
          <w:lang w:val="es-MX"/>
        </w:rPr>
      </w:pPr>
    </w:p>
    <w:p w14:paraId="349D1698" w14:textId="09789FF6" w:rsidR="005E54D7" w:rsidRDefault="005E54D7" w:rsidP="005E54D7">
      <w:pPr>
        <w:spacing w:before="0" w:line="259" w:lineRule="auto"/>
        <w:rPr>
          <w:b/>
          <w:bCs/>
          <w:noProof/>
          <w:sz w:val="20"/>
          <w:szCs w:val="20"/>
          <w:lang w:val="es-MX"/>
        </w:rPr>
      </w:pPr>
    </w:p>
    <w:p w14:paraId="739D5291" w14:textId="75757956" w:rsidR="005E54D7" w:rsidRDefault="005E54D7" w:rsidP="005E54D7">
      <w:pPr>
        <w:spacing w:before="0" w:line="259" w:lineRule="auto"/>
        <w:rPr>
          <w:b/>
          <w:bCs/>
          <w:noProof/>
          <w:sz w:val="20"/>
          <w:szCs w:val="20"/>
          <w:lang w:val="es-MX"/>
        </w:rPr>
      </w:pPr>
    </w:p>
    <w:p w14:paraId="36BCD167" w14:textId="04BA2B52" w:rsidR="005E54D7" w:rsidRDefault="005E54D7" w:rsidP="005E54D7">
      <w:pPr>
        <w:spacing w:before="0" w:line="259" w:lineRule="auto"/>
        <w:rPr>
          <w:b/>
          <w:bCs/>
          <w:noProof/>
          <w:sz w:val="20"/>
          <w:szCs w:val="20"/>
          <w:lang w:val="es-MX"/>
        </w:rPr>
      </w:pPr>
    </w:p>
    <w:p w14:paraId="751CA687" w14:textId="672D7CA8" w:rsidR="005E54D7" w:rsidRDefault="005E54D7" w:rsidP="005E54D7">
      <w:pPr>
        <w:spacing w:before="0" w:line="259" w:lineRule="auto"/>
        <w:rPr>
          <w:b/>
          <w:bCs/>
          <w:noProof/>
          <w:sz w:val="20"/>
          <w:szCs w:val="20"/>
          <w:lang w:val="es-MX"/>
        </w:rPr>
      </w:pPr>
    </w:p>
    <w:p w14:paraId="57141D5C" w14:textId="39B73494" w:rsidR="005E54D7" w:rsidRDefault="005E54D7" w:rsidP="005E54D7">
      <w:pPr>
        <w:spacing w:before="0" w:line="259" w:lineRule="auto"/>
        <w:rPr>
          <w:b/>
          <w:bCs/>
          <w:noProof/>
          <w:sz w:val="20"/>
          <w:szCs w:val="20"/>
          <w:lang w:val="es-MX"/>
        </w:rPr>
      </w:pPr>
    </w:p>
    <w:p w14:paraId="4468E9A8" w14:textId="07D8AE59" w:rsidR="005E54D7" w:rsidRDefault="005E54D7" w:rsidP="005E54D7">
      <w:pPr>
        <w:spacing w:before="0" w:line="259" w:lineRule="auto"/>
        <w:rPr>
          <w:b/>
          <w:bCs/>
          <w:noProof/>
          <w:sz w:val="20"/>
          <w:szCs w:val="20"/>
          <w:lang w:val="es-MX"/>
        </w:rPr>
      </w:pPr>
    </w:p>
    <w:p w14:paraId="1EA5376B" w14:textId="77777777" w:rsidR="005E54D7" w:rsidRPr="00DD6589" w:rsidRDefault="005E54D7" w:rsidP="005E54D7">
      <w:pPr>
        <w:spacing w:before="0" w:line="259" w:lineRule="auto"/>
        <w:rPr>
          <w:b/>
          <w:bCs/>
          <w:noProof/>
          <w:sz w:val="20"/>
          <w:szCs w:val="20"/>
          <w:lang w:val="es-MX"/>
        </w:rPr>
      </w:pPr>
    </w:p>
    <w:p w14:paraId="4240A92B" w14:textId="77777777" w:rsidR="005E54D7" w:rsidRDefault="005E54D7" w:rsidP="00CC6431">
      <w:pPr>
        <w:pStyle w:val="Ttulo1"/>
      </w:pPr>
    </w:p>
    <w:p w14:paraId="4F8A4B3A" w14:textId="547335F7" w:rsidR="00E51F5E" w:rsidRDefault="00AA63BD" w:rsidP="00CC6431">
      <w:pPr>
        <w:pStyle w:val="Ttulo1"/>
      </w:pPr>
      <w:r>
        <w:t xml:space="preserve">Servicios de </w:t>
      </w:r>
      <w:r w:rsidRPr="00AA63BD">
        <w:t>Recolección, Traslado y Disposición Final</w:t>
      </w:r>
      <w:r>
        <w:br/>
      </w:r>
      <w:r w:rsidRPr="00AA63BD">
        <w:t>de Residuos Sólidos</w:t>
      </w:r>
      <w:r w:rsidR="0093374B">
        <w:t xml:space="preserve"> Urbanos (RSU)</w:t>
      </w:r>
    </w:p>
    <w:p w14:paraId="7E688ACA" w14:textId="4C2FC540" w:rsidR="00DB3C2F" w:rsidRDefault="00D856A2" w:rsidP="00EA73D2">
      <w:pPr>
        <w:pStyle w:val="Ttulo2"/>
      </w:pPr>
      <w:r>
        <w:t xml:space="preserve">Resumen </w:t>
      </w:r>
    </w:p>
    <w:p w14:paraId="7A4DC705" w14:textId="3E93CE5F" w:rsidR="00D856A2" w:rsidRPr="00D856A2" w:rsidRDefault="00D856A2" w:rsidP="00D856A2">
      <w:pPr>
        <w:spacing w:before="0" w:line="240" w:lineRule="auto"/>
        <w:rPr>
          <w:rFonts w:ascii="Calibri" w:eastAsia="Times New Roman" w:hAnsi="Calibri" w:cs="Calibri"/>
          <w:color w:val="000000"/>
          <w:sz w:val="22"/>
          <w:szCs w:val="22"/>
          <w:lang w:val="es-MX" w:eastAsia="es-MX"/>
        </w:rPr>
      </w:pPr>
      <w:r w:rsidRPr="00186A69">
        <w:rPr>
          <w:sz w:val="24"/>
        </w:rPr>
        <w:t xml:space="preserve">Entre 2022 </w:t>
      </w:r>
      <w:r w:rsidR="007D7C9B">
        <w:rPr>
          <w:sz w:val="24"/>
        </w:rPr>
        <w:t>y 2024, el</w:t>
      </w:r>
      <w:r w:rsidRPr="00186A69">
        <w:rPr>
          <w:sz w:val="24"/>
        </w:rPr>
        <w:t xml:space="preserve"> Gobierno Municipal de Centro destinó una inversión de </w:t>
      </w:r>
      <w:r w:rsidR="007D7C9B">
        <w:rPr>
          <w:b/>
          <w:bCs/>
          <w:sz w:val="24"/>
        </w:rPr>
        <w:t>1,745</w:t>
      </w:r>
      <w:r w:rsidR="004F6795">
        <w:rPr>
          <w:b/>
          <w:bCs/>
          <w:sz w:val="24"/>
        </w:rPr>
        <w:t xml:space="preserve">. </w:t>
      </w:r>
      <w:r w:rsidR="00AC7770">
        <w:rPr>
          <w:b/>
          <w:bCs/>
          <w:sz w:val="24"/>
        </w:rPr>
        <w:t>3</w:t>
      </w:r>
      <w:r w:rsidR="004F6795">
        <w:rPr>
          <w:b/>
          <w:bCs/>
          <w:sz w:val="24"/>
        </w:rPr>
        <w:t xml:space="preserve"> millones de pesos</w:t>
      </w:r>
      <w:r w:rsidRPr="00186A69">
        <w:rPr>
          <w:b/>
          <w:bCs/>
          <w:sz w:val="24"/>
        </w:rPr>
        <w:t xml:space="preserve"> </w:t>
      </w:r>
      <w:r w:rsidRPr="00186A69">
        <w:rPr>
          <w:sz w:val="24"/>
        </w:rPr>
        <w:t xml:space="preserve">para fortalecer la </w:t>
      </w:r>
      <w:r w:rsidRPr="00186A69">
        <w:rPr>
          <w:b/>
          <w:bCs/>
          <w:sz w:val="24"/>
        </w:rPr>
        <w:t>gestión integral de residuos sólidos urbanos</w:t>
      </w:r>
      <w:r w:rsidRPr="00186A69">
        <w:rPr>
          <w:sz w:val="24"/>
        </w:rPr>
        <w:t xml:space="preserve"> y su infraestructura operativa. Este esfuerzo se tradujo en una mejora significativa en la cobertura, eficiencia y capacidad del servicio.</w:t>
      </w:r>
    </w:p>
    <w:p w14:paraId="14D9082D" w14:textId="6017E9A4" w:rsidR="00D856A2" w:rsidRPr="00186A69" w:rsidRDefault="007D7C9B" w:rsidP="00366FAE">
      <w:pPr>
        <w:spacing w:before="0" w:line="240" w:lineRule="auto"/>
        <w:rPr>
          <w:sz w:val="24"/>
        </w:rPr>
      </w:pPr>
      <w:r>
        <w:rPr>
          <w:sz w:val="24"/>
        </w:rPr>
        <w:t xml:space="preserve">Se realizó la </w:t>
      </w:r>
      <w:r w:rsidR="00D856A2" w:rsidRPr="00366FAE">
        <w:rPr>
          <w:b/>
          <w:bCs/>
          <w:sz w:val="24"/>
        </w:rPr>
        <w:t>modernización del sitio de transferencia</w:t>
      </w:r>
      <w:r w:rsidR="003A2B1C">
        <w:rPr>
          <w:b/>
          <w:bCs/>
          <w:sz w:val="24"/>
        </w:rPr>
        <w:t xml:space="preserve"> de residuos sólidos</w:t>
      </w:r>
      <w:r w:rsidR="00D856A2" w:rsidRPr="00366FAE">
        <w:rPr>
          <w:sz w:val="24"/>
        </w:rPr>
        <w:t xml:space="preserve">, </w:t>
      </w:r>
      <w:r w:rsidR="00366FAE">
        <w:rPr>
          <w:sz w:val="24"/>
        </w:rPr>
        <w:t>con</w:t>
      </w:r>
      <w:r w:rsidR="00366FAE" w:rsidRPr="00DF03A9">
        <w:rPr>
          <w:sz w:val="24"/>
        </w:rPr>
        <w:t xml:space="preserve"> una inversión de</w:t>
      </w:r>
      <w:r w:rsidR="00366FAE">
        <w:rPr>
          <w:sz w:val="24"/>
        </w:rPr>
        <w:t xml:space="preserve"> </w:t>
      </w:r>
      <w:r w:rsidR="00AC7770" w:rsidRPr="00AC7770">
        <w:rPr>
          <w:b/>
          <w:bCs/>
          <w:sz w:val="24"/>
        </w:rPr>
        <w:t>8</w:t>
      </w:r>
      <w:r w:rsidR="00AC7770">
        <w:rPr>
          <w:b/>
          <w:bCs/>
          <w:sz w:val="24"/>
        </w:rPr>
        <w:t>2</w:t>
      </w:r>
      <w:r w:rsidR="00366FAE" w:rsidRPr="00AC7770">
        <w:rPr>
          <w:b/>
          <w:bCs/>
          <w:sz w:val="24"/>
        </w:rPr>
        <w:t>.</w:t>
      </w:r>
      <w:r w:rsidR="00AC7770">
        <w:rPr>
          <w:b/>
          <w:bCs/>
          <w:sz w:val="24"/>
        </w:rPr>
        <w:t>6</w:t>
      </w:r>
      <w:r w:rsidR="00366FAE" w:rsidRPr="003A2B1C">
        <w:rPr>
          <w:b/>
          <w:bCs/>
          <w:sz w:val="24"/>
        </w:rPr>
        <w:t xml:space="preserve"> millones,</w:t>
      </w:r>
      <w:r w:rsidR="00366FAE" w:rsidRPr="00DF03A9">
        <w:rPr>
          <w:sz w:val="24"/>
        </w:rPr>
        <w:t xml:space="preserve"> infraestructura clave para fortalecer el sistema de gestión integral de residuos urbanos</w:t>
      </w:r>
      <w:r w:rsidR="00366FAE">
        <w:rPr>
          <w:sz w:val="24"/>
        </w:rPr>
        <w:t>.</w:t>
      </w:r>
      <w:r w:rsidR="00CE2C5D">
        <w:rPr>
          <w:sz w:val="24"/>
        </w:rPr>
        <w:t xml:space="preserve"> </w:t>
      </w:r>
    </w:p>
    <w:p w14:paraId="651B557A" w14:textId="77777777" w:rsidR="00D856A2" w:rsidRPr="00186A69" w:rsidRDefault="00D856A2" w:rsidP="00D856A2">
      <w:pPr>
        <w:rPr>
          <w:sz w:val="24"/>
        </w:rPr>
      </w:pPr>
      <w:r w:rsidRPr="00186A69">
        <w:rPr>
          <w:sz w:val="24"/>
        </w:rPr>
        <w:t xml:space="preserve">Según los </w:t>
      </w:r>
      <w:r w:rsidRPr="00186A69">
        <w:rPr>
          <w:b/>
          <w:bCs/>
          <w:sz w:val="24"/>
        </w:rPr>
        <w:t>indicadores de desempeño de 2023</w:t>
      </w:r>
      <w:r w:rsidRPr="00186A69">
        <w:rPr>
          <w:sz w:val="24"/>
        </w:rPr>
        <w:t xml:space="preserve">, se logró una </w:t>
      </w:r>
      <w:r w:rsidRPr="00186A69">
        <w:rPr>
          <w:b/>
          <w:bCs/>
          <w:sz w:val="24"/>
        </w:rPr>
        <w:t>cobertura del 100%</w:t>
      </w:r>
      <w:r w:rsidRPr="00186A69">
        <w:rPr>
          <w:sz w:val="24"/>
        </w:rPr>
        <w:t xml:space="preserve"> en las zonas atendidas regularmente. La red de </w:t>
      </w:r>
      <w:r w:rsidRPr="00186A69">
        <w:rPr>
          <w:b/>
          <w:bCs/>
          <w:sz w:val="24"/>
        </w:rPr>
        <w:t>rutas de recolección</w:t>
      </w:r>
      <w:r w:rsidRPr="00186A69">
        <w:rPr>
          <w:sz w:val="24"/>
        </w:rPr>
        <w:t xml:space="preserve"> también se expandió: de </w:t>
      </w:r>
      <w:r w:rsidRPr="00186A69">
        <w:rPr>
          <w:b/>
          <w:bCs/>
          <w:sz w:val="24"/>
        </w:rPr>
        <w:t>132 rutas en 2022</w:t>
      </w:r>
      <w:r w:rsidRPr="00186A69">
        <w:rPr>
          <w:sz w:val="24"/>
        </w:rPr>
        <w:t xml:space="preserve"> a </w:t>
      </w:r>
      <w:r w:rsidRPr="00186A69">
        <w:rPr>
          <w:b/>
          <w:bCs/>
          <w:sz w:val="24"/>
        </w:rPr>
        <w:t>139 rutas en 2024</w:t>
      </w:r>
      <w:r w:rsidRPr="00186A69">
        <w:rPr>
          <w:sz w:val="24"/>
        </w:rPr>
        <w:t xml:space="preserve">, logrando cubrir el </w:t>
      </w:r>
      <w:r w:rsidRPr="00186A69">
        <w:rPr>
          <w:b/>
          <w:bCs/>
          <w:sz w:val="24"/>
        </w:rPr>
        <w:t>95% de la población del municipio</w:t>
      </w:r>
      <w:r w:rsidRPr="00186A69">
        <w:rPr>
          <w:sz w:val="24"/>
        </w:rPr>
        <w:t xml:space="preserve"> (649,427 habitantes).</w:t>
      </w:r>
    </w:p>
    <w:p w14:paraId="64AB0CD3" w14:textId="758C4C87" w:rsidR="00D856A2" w:rsidRDefault="00D856A2" w:rsidP="00D856A2">
      <w:pPr>
        <w:rPr>
          <w:sz w:val="24"/>
        </w:rPr>
      </w:pPr>
      <w:r w:rsidRPr="00186A69">
        <w:rPr>
          <w:sz w:val="24"/>
        </w:rPr>
        <w:t xml:space="preserve">No obstante, un </w:t>
      </w:r>
      <w:r w:rsidRPr="00186A69">
        <w:rPr>
          <w:b/>
          <w:bCs/>
          <w:sz w:val="24"/>
        </w:rPr>
        <w:t>5% de la población</w:t>
      </w:r>
      <w:r w:rsidRPr="00186A69">
        <w:rPr>
          <w:sz w:val="24"/>
        </w:rPr>
        <w:t xml:space="preserve">, ubicada en </w:t>
      </w:r>
      <w:r w:rsidRPr="00186A69">
        <w:rPr>
          <w:b/>
          <w:bCs/>
          <w:sz w:val="24"/>
        </w:rPr>
        <w:t>zonas rurales de difícil acceso</w:t>
      </w:r>
      <w:r w:rsidRPr="00186A69">
        <w:rPr>
          <w:sz w:val="24"/>
        </w:rPr>
        <w:t>, aún no cuenta con un servicio de recolección regular, lo que representa un área clave de oportunidad para futuras estrategias de expansión y mejora del servicio.</w:t>
      </w:r>
    </w:p>
    <w:p w14:paraId="2260D2D4" w14:textId="10527F1B" w:rsidR="00A84C34" w:rsidRDefault="00A84C34" w:rsidP="00D856A2">
      <w:pPr>
        <w:rPr>
          <w:sz w:val="24"/>
        </w:rPr>
      </w:pPr>
    </w:p>
    <w:p w14:paraId="47E2E6A1" w14:textId="77777777" w:rsidR="00A84C34" w:rsidRPr="00186A69" w:rsidRDefault="00A84C34" w:rsidP="00D856A2">
      <w:pPr>
        <w:rPr>
          <w:sz w:val="24"/>
        </w:rPr>
      </w:pPr>
    </w:p>
    <w:p w14:paraId="038CE732" w14:textId="3CBE1E9F" w:rsidR="00EA73D2" w:rsidRDefault="00EA73D2" w:rsidP="00EA73D2">
      <w:pPr>
        <w:pStyle w:val="Ttulo2"/>
      </w:pPr>
      <w:r>
        <w:t xml:space="preserve">Inversión </w:t>
      </w:r>
    </w:p>
    <w:p w14:paraId="4F978F0B" w14:textId="18FCC209" w:rsidR="008C7E83" w:rsidRPr="008C7E83" w:rsidRDefault="00A84C34" w:rsidP="008C7E83">
      <w:r>
        <w:rPr>
          <w:noProof/>
        </w:rPr>
        <w:drawing>
          <wp:inline distT="0" distB="0" distL="0" distR="0" wp14:anchorId="65ECEAD6" wp14:editId="30BD9F12">
            <wp:extent cx="6436995" cy="3641918"/>
            <wp:effectExtent l="0" t="0" r="190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816" cy="3647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9CCB7D" w14:textId="08C32A31" w:rsidR="00556E82" w:rsidRPr="00691921" w:rsidRDefault="00691921" w:rsidP="00EA73D2">
      <w:pPr>
        <w:rPr>
          <w:noProof/>
          <w:sz w:val="20"/>
          <w:szCs w:val="20"/>
        </w:rPr>
      </w:pPr>
      <w:r w:rsidRPr="00691921">
        <w:rPr>
          <w:b/>
          <w:bCs/>
          <w:noProof/>
          <w:sz w:val="20"/>
          <w:szCs w:val="20"/>
        </w:rPr>
        <w:t>Fuente:</w:t>
      </w:r>
      <w:r w:rsidRPr="00691921">
        <w:rPr>
          <w:noProof/>
          <w:sz w:val="20"/>
          <w:szCs w:val="20"/>
        </w:rPr>
        <w:t xml:space="preserve"> Cuenta Pùblica del municipio de Centro de 2022 a 2024</w:t>
      </w:r>
    </w:p>
    <w:p w14:paraId="5BA7050E" w14:textId="77777777" w:rsidR="00C03FC5" w:rsidRDefault="00C03FC5" w:rsidP="00C03FC5">
      <w:pPr>
        <w:pStyle w:val="Ttulo1"/>
      </w:pPr>
      <w:r>
        <w:lastRenderedPageBreak/>
        <w:t xml:space="preserve">Servicios de Alumbrado Publico </w:t>
      </w:r>
    </w:p>
    <w:p w14:paraId="3179C6B3" w14:textId="77777777" w:rsidR="00C03FC5" w:rsidRDefault="00C03FC5" w:rsidP="00C03FC5">
      <w:pPr>
        <w:pStyle w:val="Ttulo2"/>
      </w:pPr>
      <w:r>
        <w:t xml:space="preserve">Resumen </w:t>
      </w:r>
    </w:p>
    <w:p w14:paraId="27C887FC" w14:textId="77777777" w:rsidR="00C03FC5" w:rsidRPr="00C77EF3" w:rsidRDefault="00C03FC5" w:rsidP="00C03FC5">
      <w:pPr>
        <w:rPr>
          <w:rFonts w:cs="Arial"/>
          <w:sz w:val="24"/>
        </w:rPr>
      </w:pPr>
      <w:r w:rsidRPr="00C77EF3">
        <w:rPr>
          <w:rFonts w:cs="Arial"/>
          <w:sz w:val="24"/>
        </w:rPr>
        <w:t xml:space="preserve">El municipio de Centro cuenta con una red de </w:t>
      </w:r>
      <w:r w:rsidRPr="004C4C2E">
        <w:rPr>
          <w:rFonts w:cs="Arial"/>
          <w:b/>
          <w:bCs/>
          <w:sz w:val="24"/>
        </w:rPr>
        <w:t>54,227 luminarias</w:t>
      </w:r>
      <w:r w:rsidRPr="004C4C2E">
        <w:rPr>
          <w:rFonts w:cs="Arial"/>
          <w:sz w:val="24"/>
        </w:rPr>
        <w:t xml:space="preserve"> distribuidas principalmente en vialidades (</w:t>
      </w:r>
      <w:r w:rsidRPr="004C4C2E">
        <w:rPr>
          <w:rFonts w:cs="Arial"/>
          <w:b/>
          <w:bCs/>
          <w:sz w:val="24"/>
        </w:rPr>
        <w:t>50,727</w:t>
      </w:r>
      <w:r w:rsidRPr="004C4C2E">
        <w:rPr>
          <w:rFonts w:cs="Arial"/>
          <w:sz w:val="24"/>
        </w:rPr>
        <w:t>) y parques (</w:t>
      </w:r>
      <w:r w:rsidRPr="004C4C2E">
        <w:rPr>
          <w:rFonts w:cs="Arial"/>
          <w:b/>
          <w:bCs/>
          <w:sz w:val="24"/>
        </w:rPr>
        <w:t>3,500</w:t>
      </w:r>
      <w:r w:rsidRPr="004C4C2E">
        <w:rPr>
          <w:rFonts w:cs="Arial"/>
          <w:sz w:val="24"/>
        </w:rPr>
        <w:t xml:space="preserve">). De esta infraestructura, el </w:t>
      </w:r>
      <w:r w:rsidRPr="004C4C2E">
        <w:rPr>
          <w:rFonts w:cs="Arial"/>
          <w:b/>
          <w:bCs/>
          <w:sz w:val="24"/>
        </w:rPr>
        <w:t>56.22% corresponde a tecnología LED</w:t>
      </w:r>
      <w:r w:rsidRPr="004C4C2E">
        <w:rPr>
          <w:rFonts w:cs="Arial"/>
          <w:sz w:val="24"/>
        </w:rPr>
        <w:t xml:space="preserve">, mientras que el </w:t>
      </w:r>
      <w:r w:rsidRPr="004C4C2E">
        <w:rPr>
          <w:rFonts w:cs="Arial"/>
          <w:b/>
          <w:bCs/>
          <w:sz w:val="24"/>
        </w:rPr>
        <w:t>43.78% restante</w:t>
      </w:r>
      <w:r w:rsidRPr="00C77EF3">
        <w:rPr>
          <w:rFonts w:cs="Arial"/>
          <w:sz w:val="24"/>
        </w:rPr>
        <w:t xml:space="preserve"> aún opera con luminarias de baja eficiencia energética.</w:t>
      </w:r>
    </w:p>
    <w:p w14:paraId="5315A8E9" w14:textId="5767F955" w:rsidR="00C03FC5" w:rsidRPr="00C53221" w:rsidRDefault="00C03FC5" w:rsidP="00C03FC5">
      <w:pPr>
        <w:spacing w:before="0" w:line="240" w:lineRule="auto"/>
        <w:rPr>
          <w:rFonts w:ascii="Arial Narrow" w:eastAsia="Times New Roman" w:hAnsi="Arial Narrow" w:cs="Calibri"/>
          <w:color w:val="000000"/>
          <w:sz w:val="22"/>
          <w:szCs w:val="22"/>
          <w:lang w:val="es-MX" w:eastAsia="es-MX"/>
        </w:rPr>
      </w:pPr>
      <w:r w:rsidRPr="00C77EF3">
        <w:rPr>
          <w:rFonts w:cs="Arial"/>
          <w:sz w:val="24"/>
        </w:rPr>
        <w:t xml:space="preserve">Con el objetivo de mejorar la cobertura, eficiencia y seguridad en </w:t>
      </w:r>
      <w:r w:rsidR="001203DC">
        <w:rPr>
          <w:rFonts w:cs="Arial"/>
          <w:sz w:val="24"/>
        </w:rPr>
        <w:t>los</w:t>
      </w:r>
      <w:r w:rsidRPr="00C77EF3">
        <w:rPr>
          <w:rFonts w:cs="Arial"/>
          <w:sz w:val="24"/>
        </w:rPr>
        <w:t xml:space="preserve"> </w:t>
      </w:r>
      <w:r w:rsidR="001203DC" w:rsidRPr="00C77EF3">
        <w:rPr>
          <w:rFonts w:cs="Arial"/>
          <w:sz w:val="24"/>
        </w:rPr>
        <w:t>espaci</w:t>
      </w:r>
      <w:r w:rsidR="001203DC">
        <w:rPr>
          <w:rFonts w:cs="Arial"/>
          <w:sz w:val="24"/>
        </w:rPr>
        <w:t>o</w:t>
      </w:r>
      <w:r w:rsidR="001203DC" w:rsidRPr="00C77EF3">
        <w:rPr>
          <w:rFonts w:cs="Arial"/>
          <w:sz w:val="24"/>
        </w:rPr>
        <w:t>s</w:t>
      </w:r>
      <w:r w:rsidRPr="00C77EF3">
        <w:rPr>
          <w:rFonts w:cs="Arial"/>
          <w:sz w:val="24"/>
        </w:rPr>
        <w:t xml:space="preserve"> público</w:t>
      </w:r>
      <w:r w:rsidR="001203DC">
        <w:rPr>
          <w:rFonts w:cs="Arial"/>
          <w:sz w:val="24"/>
        </w:rPr>
        <w:t>s</w:t>
      </w:r>
      <w:r w:rsidRPr="00C77EF3">
        <w:rPr>
          <w:rFonts w:cs="Arial"/>
          <w:sz w:val="24"/>
        </w:rPr>
        <w:t xml:space="preserve">, </w:t>
      </w:r>
      <w:r w:rsidR="001203DC">
        <w:rPr>
          <w:rFonts w:cs="Arial"/>
          <w:sz w:val="24"/>
        </w:rPr>
        <w:t xml:space="preserve">del 2022 al 2024 </w:t>
      </w:r>
      <w:r w:rsidRPr="00C77EF3">
        <w:rPr>
          <w:rFonts w:cs="Arial"/>
          <w:sz w:val="24"/>
        </w:rPr>
        <w:t>se invirtieron</w:t>
      </w:r>
      <w:r>
        <w:rPr>
          <w:rFonts w:cs="Arial"/>
          <w:sz w:val="24"/>
        </w:rPr>
        <w:t xml:space="preserve"> </w:t>
      </w:r>
      <w:r w:rsidR="001203DC">
        <w:rPr>
          <w:rFonts w:cs="Arial"/>
          <w:b/>
          <w:bCs/>
          <w:sz w:val="24"/>
        </w:rPr>
        <w:t>711</w:t>
      </w:r>
      <w:r>
        <w:rPr>
          <w:rFonts w:cs="Arial"/>
          <w:b/>
          <w:bCs/>
          <w:sz w:val="24"/>
        </w:rPr>
        <w:t>.</w:t>
      </w:r>
      <w:r w:rsidRPr="00C53221">
        <w:rPr>
          <w:rFonts w:cs="Arial"/>
          <w:b/>
          <w:bCs/>
          <w:sz w:val="24"/>
        </w:rPr>
        <w:t>8</w:t>
      </w:r>
      <w:r>
        <w:rPr>
          <w:rFonts w:cs="Arial"/>
          <w:b/>
          <w:bCs/>
          <w:sz w:val="24"/>
        </w:rPr>
        <w:t xml:space="preserve"> </w:t>
      </w:r>
      <w:r w:rsidRPr="00C53221">
        <w:rPr>
          <w:rFonts w:cs="Arial"/>
          <w:b/>
          <w:bCs/>
          <w:sz w:val="24"/>
        </w:rPr>
        <w:t>millones de pesos</w:t>
      </w:r>
      <w:r w:rsidRPr="00C77EF3">
        <w:rPr>
          <w:rFonts w:cs="Arial"/>
          <w:sz w:val="24"/>
        </w:rPr>
        <w:t xml:space="preserve"> </w:t>
      </w:r>
      <w:r>
        <w:rPr>
          <w:rFonts w:cs="Arial"/>
          <w:sz w:val="24"/>
        </w:rPr>
        <w:t>para su operación, mantenimiento</w:t>
      </w:r>
      <w:r w:rsidRPr="00C77EF3">
        <w:rPr>
          <w:rFonts w:cs="Arial"/>
          <w:sz w:val="24"/>
        </w:rPr>
        <w:t xml:space="preserve"> de modernización y </w:t>
      </w:r>
      <w:r>
        <w:rPr>
          <w:rFonts w:cs="Arial"/>
          <w:sz w:val="24"/>
        </w:rPr>
        <w:t>ampliación de la cobertura</w:t>
      </w:r>
      <w:r w:rsidRPr="00C77EF3">
        <w:rPr>
          <w:rFonts w:cs="Arial"/>
          <w:sz w:val="24"/>
        </w:rPr>
        <w:t>.</w:t>
      </w:r>
    </w:p>
    <w:p w14:paraId="00FDCEBC" w14:textId="47A11B5B" w:rsidR="00C03FC5" w:rsidRDefault="00C03FC5" w:rsidP="00C03FC5">
      <w:pPr>
        <w:rPr>
          <w:rFonts w:cs="Arial"/>
          <w:sz w:val="24"/>
        </w:rPr>
      </w:pPr>
      <w:r w:rsidRPr="00C77EF3">
        <w:rPr>
          <w:rFonts w:cs="Arial"/>
          <w:sz w:val="24"/>
        </w:rPr>
        <w:t xml:space="preserve">Adicionalmente, se avanzó en la transición hacia energías renovables mediante la </w:t>
      </w:r>
      <w:r w:rsidRPr="00C77EF3">
        <w:rPr>
          <w:rFonts w:cs="Arial"/>
          <w:b/>
          <w:bCs/>
          <w:sz w:val="24"/>
        </w:rPr>
        <w:t xml:space="preserve">instalación de luminarias </w:t>
      </w:r>
      <w:r>
        <w:rPr>
          <w:rFonts w:cs="Arial"/>
          <w:b/>
          <w:bCs/>
          <w:sz w:val="24"/>
        </w:rPr>
        <w:t xml:space="preserve">de alta eficiencia </w:t>
      </w:r>
      <w:r w:rsidRPr="00C77EF3">
        <w:rPr>
          <w:rFonts w:cs="Arial"/>
          <w:b/>
          <w:bCs/>
          <w:sz w:val="24"/>
        </w:rPr>
        <w:t>con fotoceldas</w:t>
      </w:r>
      <w:r w:rsidRPr="00C77EF3">
        <w:rPr>
          <w:rFonts w:cs="Arial"/>
          <w:sz w:val="24"/>
        </w:rPr>
        <w:t xml:space="preserve">, estrategia orientada a </w:t>
      </w:r>
      <w:r w:rsidRPr="00C77EF3">
        <w:rPr>
          <w:rFonts w:cs="Arial"/>
          <w:b/>
          <w:bCs/>
          <w:sz w:val="24"/>
        </w:rPr>
        <w:t>mejorar la eficiencia energética</w:t>
      </w:r>
      <w:r w:rsidRPr="00C77EF3">
        <w:rPr>
          <w:rFonts w:cs="Arial"/>
          <w:sz w:val="24"/>
        </w:rPr>
        <w:t xml:space="preserve"> </w:t>
      </w:r>
      <w:r>
        <w:rPr>
          <w:rFonts w:cs="Arial"/>
          <w:sz w:val="24"/>
        </w:rPr>
        <w:t>y contribuir a la seguridad pública.</w:t>
      </w:r>
    </w:p>
    <w:p w14:paraId="0AA35FD5" w14:textId="77777777" w:rsidR="00B13230" w:rsidRPr="00C77EF3" w:rsidRDefault="00B13230" w:rsidP="00C03FC5">
      <w:pPr>
        <w:rPr>
          <w:rFonts w:cs="Arial"/>
          <w:sz w:val="24"/>
        </w:rPr>
      </w:pPr>
    </w:p>
    <w:p w14:paraId="23F0BED7" w14:textId="64A97B79" w:rsidR="00C03FC5" w:rsidRDefault="00C03FC5" w:rsidP="00C03FC5">
      <w:pPr>
        <w:pStyle w:val="Ttulo2"/>
      </w:pPr>
      <w:r>
        <w:t xml:space="preserve">Inversión </w:t>
      </w:r>
    </w:p>
    <w:p w14:paraId="6D9EB98F" w14:textId="03D56D51" w:rsidR="00024109" w:rsidRPr="00024109" w:rsidRDefault="00024109" w:rsidP="00024109"/>
    <w:p w14:paraId="450DE286" w14:textId="2238C185" w:rsidR="00C03FC5" w:rsidRDefault="00B13230" w:rsidP="00C03FC5">
      <w:r>
        <w:rPr>
          <w:noProof/>
        </w:rPr>
        <w:drawing>
          <wp:inline distT="0" distB="0" distL="0" distR="0" wp14:anchorId="7664C4B5" wp14:editId="663A6E00">
            <wp:extent cx="6332177" cy="353377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549" cy="35367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5AAAD9" w14:textId="77777777" w:rsidR="00691921" w:rsidRPr="00691921" w:rsidRDefault="00691921" w:rsidP="00691921">
      <w:pPr>
        <w:rPr>
          <w:noProof/>
          <w:sz w:val="20"/>
          <w:szCs w:val="20"/>
        </w:rPr>
      </w:pPr>
      <w:r w:rsidRPr="00691921">
        <w:rPr>
          <w:b/>
          <w:bCs/>
          <w:noProof/>
          <w:sz w:val="20"/>
          <w:szCs w:val="20"/>
        </w:rPr>
        <w:t>Fuente:</w:t>
      </w:r>
      <w:r w:rsidRPr="00691921">
        <w:rPr>
          <w:noProof/>
          <w:sz w:val="20"/>
          <w:szCs w:val="20"/>
        </w:rPr>
        <w:t xml:space="preserve"> Cuenta Pùblica del municipio de Centro de 2022 a 2024</w:t>
      </w:r>
    </w:p>
    <w:p w14:paraId="66F3FD02" w14:textId="3306D0DE" w:rsidR="0093374B" w:rsidRDefault="0093374B" w:rsidP="00C03FC5">
      <w:pPr>
        <w:rPr>
          <w:noProof/>
        </w:rPr>
      </w:pPr>
    </w:p>
    <w:p w14:paraId="1394F2F1" w14:textId="13FCDA9C" w:rsidR="0093374B" w:rsidRDefault="0093374B" w:rsidP="00C03FC5">
      <w:pPr>
        <w:rPr>
          <w:noProof/>
        </w:rPr>
      </w:pPr>
    </w:p>
    <w:p w14:paraId="665B57FB" w14:textId="500D5129" w:rsidR="00A634CC" w:rsidRDefault="00A634CC" w:rsidP="00C03FC5">
      <w:pPr>
        <w:rPr>
          <w:noProof/>
        </w:rPr>
      </w:pPr>
    </w:p>
    <w:p w14:paraId="29EF7A0C" w14:textId="77777777" w:rsidR="00355EDD" w:rsidRDefault="00355EDD" w:rsidP="00C03FC5">
      <w:pPr>
        <w:rPr>
          <w:noProof/>
        </w:rPr>
      </w:pPr>
    </w:p>
    <w:p w14:paraId="0D3121DA" w14:textId="499DEB71" w:rsidR="00D03535" w:rsidRDefault="00D03535" w:rsidP="00D03535">
      <w:pPr>
        <w:pStyle w:val="Ttulo1"/>
      </w:pPr>
      <w:r>
        <w:lastRenderedPageBreak/>
        <w:t>Servicios de Agua Potable, Drenaje y Alcantarillado</w:t>
      </w:r>
    </w:p>
    <w:p w14:paraId="30EC6869" w14:textId="77777777" w:rsidR="00D03535" w:rsidRDefault="00D03535" w:rsidP="00D03535">
      <w:pPr>
        <w:pStyle w:val="Ttulo2"/>
      </w:pPr>
      <w:r>
        <w:t xml:space="preserve">Resumen </w:t>
      </w:r>
    </w:p>
    <w:p w14:paraId="7F434840" w14:textId="7F025B06" w:rsidR="00D03535" w:rsidRPr="00D03535" w:rsidRDefault="00D03535" w:rsidP="00D03535">
      <w:pPr>
        <w:rPr>
          <w:lang w:val="es-MX"/>
        </w:rPr>
      </w:pPr>
      <w:r w:rsidRPr="00D03535">
        <w:rPr>
          <w:lang w:val="es-MX"/>
        </w:rPr>
        <w:t xml:space="preserve">Entre 2022 </w:t>
      </w:r>
      <w:r w:rsidR="005A6B8D">
        <w:rPr>
          <w:lang w:val="es-MX"/>
        </w:rPr>
        <w:t>y</w:t>
      </w:r>
      <w:r w:rsidRPr="00D03535">
        <w:rPr>
          <w:lang w:val="es-MX"/>
        </w:rPr>
        <w:t xml:space="preserve"> 202</w:t>
      </w:r>
      <w:r w:rsidR="005A6B8D">
        <w:rPr>
          <w:lang w:val="es-MX"/>
        </w:rPr>
        <w:t>4</w:t>
      </w:r>
      <w:r w:rsidRPr="00D03535">
        <w:rPr>
          <w:lang w:val="es-MX"/>
        </w:rPr>
        <w:t xml:space="preserve">, el municipio de Centro destinó </w:t>
      </w:r>
      <w:r w:rsidR="00445E3C">
        <w:rPr>
          <w:b/>
          <w:bCs/>
          <w:lang w:val="es-MX"/>
        </w:rPr>
        <w:t>3</w:t>
      </w:r>
      <w:r w:rsidRPr="00D03535">
        <w:rPr>
          <w:b/>
          <w:bCs/>
          <w:lang w:val="es-MX"/>
        </w:rPr>
        <w:t>,</w:t>
      </w:r>
      <w:r w:rsidR="00445E3C">
        <w:rPr>
          <w:b/>
          <w:bCs/>
          <w:lang w:val="es-MX"/>
        </w:rPr>
        <w:t>816</w:t>
      </w:r>
      <w:r>
        <w:rPr>
          <w:b/>
          <w:bCs/>
          <w:lang w:val="es-MX"/>
        </w:rPr>
        <w:t>.</w:t>
      </w:r>
      <w:r w:rsidR="00445E3C">
        <w:rPr>
          <w:b/>
          <w:bCs/>
          <w:lang w:val="es-MX"/>
        </w:rPr>
        <w:t>9</w:t>
      </w:r>
      <w:r w:rsidRPr="00D03535">
        <w:rPr>
          <w:b/>
          <w:bCs/>
          <w:lang w:val="es-MX"/>
        </w:rPr>
        <w:t xml:space="preserve"> millones de pesos</w:t>
      </w:r>
      <w:r w:rsidRPr="00D03535">
        <w:rPr>
          <w:lang w:val="es-MX"/>
        </w:rPr>
        <w:t xml:space="preserve"> a obras y acciones para mejorar los servicios de agua potable, drenaje y saneamiento, destacando proyectos estratégicos como el </w:t>
      </w:r>
      <w:r w:rsidRPr="00D03535">
        <w:rPr>
          <w:b/>
          <w:bCs/>
          <w:lang w:val="es-MX"/>
        </w:rPr>
        <w:t>Acueducto Usumacinta</w:t>
      </w:r>
      <w:r w:rsidRPr="00D03535">
        <w:rPr>
          <w:lang w:val="es-MX"/>
        </w:rPr>
        <w:t xml:space="preserve">, la </w:t>
      </w:r>
      <w:r w:rsidRPr="00D03535">
        <w:rPr>
          <w:b/>
          <w:bCs/>
          <w:lang w:val="es-MX"/>
        </w:rPr>
        <w:t>Plataforma de Captación del río Carrizal</w:t>
      </w:r>
      <w:r w:rsidRPr="00D03535">
        <w:rPr>
          <w:lang w:val="es-MX"/>
        </w:rPr>
        <w:t xml:space="preserve"> y la </w:t>
      </w:r>
      <w:r w:rsidRPr="00D03535">
        <w:rPr>
          <w:b/>
          <w:bCs/>
          <w:lang w:val="es-MX"/>
        </w:rPr>
        <w:t>Planta Potabilizadora Carrizal II</w:t>
      </w:r>
      <w:r w:rsidRPr="00D03535">
        <w:rPr>
          <w:lang w:val="es-MX"/>
        </w:rPr>
        <w:t>.</w:t>
      </w:r>
    </w:p>
    <w:p w14:paraId="5337C9B7" w14:textId="77777777" w:rsidR="00D03535" w:rsidRPr="00D03535" w:rsidRDefault="00D03535" w:rsidP="00D03535">
      <w:pPr>
        <w:rPr>
          <w:lang w:val="es-MX"/>
        </w:rPr>
      </w:pPr>
      <w:r w:rsidRPr="00D03535">
        <w:rPr>
          <w:lang w:val="es-MX"/>
        </w:rPr>
        <w:t xml:space="preserve">En 2023, se operaron </w:t>
      </w:r>
      <w:r w:rsidRPr="00D03535">
        <w:rPr>
          <w:b/>
          <w:bCs/>
          <w:lang w:val="es-MX"/>
        </w:rPr>
        <w:t>60 puntos de abastecimiento</w:t>
      </w:r>
      <w:r w:rsidRPr="00D03535">
        <w:rPr>
          <w:lang w:val="es-MX"/>
        </w:rPr>
        <w:t xml:space="preserve"> de agua, con una capacidad de extracción anual de </w:t>
      </w:r>
      <w:r w:rsidRPr="00D03535">
        <w:rPr>
          <w:b/>
          <w:bCs/>
          <w:lang w:val="es-MX"/>
        </w:rPr>
        <w:t>381 mil m³</w:t>
      </w:r>
      <w:r w:rsidRPr="00D03535">
        <w:rPr>
          <w:lang w:val="es-MX"/>
        </w:rPr>
        <w:t xml:space="preserve">, abastecidos mayormente por ríos (95.8%). Se cuenta con </w:t>
      </w:r>
      <w:r w:rsidRPr="00D03535">
        <w:rPr>
          <w:b/>
          <w:bCs/>
          <w:lang w:val="es-MX"/>
        </w:rPr>
        <w:t>19 plantas potabilizadoras</w:t>
      </w:r>
      <w:r w:rsidRPr="00D03535">
        <w:rPr>
          <w:lang w:val="es-MX"/>
        </w:rPr>
        <w:t xml:space="preserve"> capaces de procesar hasta </w:t>
      </w:r>
      <w:r w:rsidRPr="00D03535">
        <w:rPr>
          <w:b/>
          <w:bCs/>
          <w:lang w:val="es-MX"/>
        </w:rPr>
        <w:t>4,636 litros por segundo</w:t>
      </w:r>
      <w:r w:rsidRPr="00D03535">
        <w:rPr>
          <w:lang w:val="es-MX"/>
        </w:rPr>
        <w:t xml:space="preserve">, lo que permitió suministrar </w:t>
      </w:r>
      <w:r w:rsidRPr="00D03535">
        <w:rPr>
          <w:b/>
          <w:bCs/>
          <w:lang w:val="es-MX"/>
        </w:rPr>
        <w:t>125.29 millones de m³</w:t>
      </w:r>
      <w:r w:rsidRPr="00D03535">
        <w:rPr>
          <w:lang w:val="es-MX"/>
        </w:rPr>
        <w:t xml:space="preserve"> de agua en ese año.</w:t>
      </w:r>
    </w:p>
    <w:p w14:paraId="1E426519" w14:textId="57A8564A" w:rsidR="00D03535" w:rsidRDefault="00D03535" w:rsidP="00D03535">
      <w:pPr>
        <w:rPr>
          <w:lang w:val="es-MX"/>
        </w:rPr>
      </w:pPr>
      <w:r w:rsidRPr="004C4C2E">
        <w:rPr>
          <w:lang w:val="es-MX"/>
        </w:rPr>
        <w:t xml:space="preserve">Villahermosa dispone de </w:t>
      </w:r>
      <w:r w:rsidRPr="004C4C2E">
        <w:rPr>
          <w:b/>
          <w:bCs/>
          <w:lang w:val="es-MX"/>
        </w:rPr>
        <w:t>67 estaciones de bombeo urbanas</w:t>
      </w:r>
      <w:r w:rsidRPr="004C4C2E">
        <w:rPr>
          <w:lang w:val="es-MX"/>
        </w:rPr>
        <w:t xml:space="preserve">, con una capacidad total de </w:t>
      </w:r>
      <w:r w:rsidRPr="004C4C2E">
        <w:rPr>
          <w:b/>
          <w:bCs/>
          <w:lang w:val="es-MX"/>
        </w:rPr>
        <w:t xml:space="preserve">175,571.5 </w:t>
      </w:r>
      <w:proofErr w:type="spellStart"/>
      <w:r w:rsidRPr="004C4C2E">
        <w:rPr>
          <w:b/>
          <w:bCs/>
          <w:lang w:val="es-MX"/>
        </w:rPr>
        <w:t>lps</w:t>
      </w:r>
      <w:proofErr w:type="spellEnd"/>
      <w:r w:rsidRPr="004C4C2E">
        <w:rPr>
          <w:lang w:val="es-MX"/>
        </w:rPr>
        <w:t xml:space="preserve">, y la zona rural con </w:t>
      </w:r>
      <w:r w:rsidRPr="004C4C2E">
        <w:rPr>
          <w:b/>
          <w:bCs/>
          <w:lang w:val="es-MX"/>
        </w:rPr>
        <w:t>48 estaciones</w:t>
      </w:r>
      <w:r w:rsidRPr="004C4C2E">
        <w:rPr>
          <w:lang w:val="es-MX"/>
        </w:rPr>
        <w:t xml:space="preserve"> que suman </w:t>
      </w:r>
      <w:r w:rsidRPr="004C4C2E">
        <w:rPr>
          <w:b/>
          <w:bCs/>
          <w:lang w:val="es-MX"/>
        </w:rPr>
        <w:t xml:space="preserve">9,330 </w:t>
      </w:r>
      <w:proofErr w:type="spellStart"/>
      <w:r w:rsidRPr="004C4C2E">
        <w:rPr>
          <w:b/>
          <w:bCs/>
          <w:lang w:val="es-MX"/>
        </w:rPr>
        <w:t>lps</w:t>
      </w:r>
      <w:proofErr w:type="spellEnd"/>
      <w:r w:rsidRPr="004C4C2E">
        <w:rPr>
          <w:lang w:val="es-MX"/>
        </w:rPr>
        <w:t xml:space="preserve">. No obstante, </w:t>
      </w:r>
      <w:r w:rsidRPr="004C4C2E">
        <w:rPr>
          <w:b/>
          <w:bCs/>
          <w:lang w:val="es-MX"/>
        </w:rPr>
        <w:t>el 1.8% de las viviendas</w:t>
      </w:r>
      <w:r w:rsidRPr="00D03535">
        <w:rPr>
          <w:lang w:val="es-MX"/>
        </w:rPr>
        <w:t xml:space="preserve"> aún carecen de infraestructura de drenaje.</w:t>
      </w:r>
    </w:p>
    <w:p w14:paraId="70033DDB" w14:textId="77777777" w:rsidR="00D61DE2" w:rsidRPr="00D03535" w:rsidRDefault="00D61DE2" w:rsidP="00D03535">
      <w:pPr>
        <w:rPr>
          <w:lang w:val="es-MX"/>
        </w:rPr>
      </w:pPr>
    </w:p>
    <w:p w14:paraId="1CA4C6F2" w14:textId="54F2B642" w:rsidR="005F0D18" w:rsidRDefault="005F0D18" w:rsidP="005F0D18">
      <w:pPr>
        <w:pStyle w:val="Ttulo2"/>
      </w:pPr>
      <w:r>
        <w:t xml:space="preserve">Inversión </w:t>
      </w:r>
    </w:p>
    <w:p w14:paraId="0994FA13" w14:textId="77777777" w:rsidR="00A12A6E" w:rsidRDefault="00A12A6E" w:rsidP="00024109"/>
    <w:p w14:paraId="2AA8AD99" w14:textId="792AEB9C" w:rsidR="005F0D18" w:rsidRDefault="00D61DE2" w:rsidP="004F6795">
      <w:pPr>
        <w:spacing w:before="0" w:line="259" w:lineRule="auto"/>
      </w:pPr>
      <w:r>
        <w:rPr>
          <w:noProof/>
        </w:rPr>
        <w:drawing>
          <wp:inline distT="0" distB="0" distL="0" distR="0" wp14:anchorId="5BE628DA" wp14:editId="21E162F7">
            <wp:extent cx="6498095" cy="380047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346" cy="380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9AF4DA" w14:textId="77777777" w:rsidR="00691921" w:rsidRPr="00691921" w:rsidRDefault="00691921" w:rsidP="00691921">
      <w:pPr>
        <w:rPr>
          <w:noProof/>
          <w:sz w:val="20"/>
          <w:szCs w:val="20"/>
        </w:rPr>
      </w:pPr>
      <w:r w:rsidRPr="00691921">
        <w:rPr>
          <w:b/>
          <w:bCs/>
          <w:noProof/>
          <w:sz w:val="20"/>
          <w:szCs w:val="20"/>
        </w:rPr>
        <w:t>Fuente:</w:t>
      </w:r>
      <w:r w:rsidRPr="00691921">
        <w:rPr>
          <w:noProof/>
          <w:sz w:val="20"/>
          <w:szCs w:val="20"/>
        </w:rPr>
        <w:t xml:space="preserve"> Cuenta Pùblica del municipio de Centro de 2022 a 2024</w:t>
      </w:r>
    </w:p>
    <w:p w14:paraId="5BCFCEF2" w14:textId="0ECC483D" w:rsidR="005F0D18" w:rsidRDefault="005F0D18" w:rsidP="004F6795">
      <w:pPr>
        <w:spacing w:before="0" w:line="259" w:lineRule="auto"/>
        <w:rPr>
          <w:noProof/>
        </w:rPr>
      </w:pPr>
    </w:p>
    <w:p w14:paraId="6771A250" w14:textId="334A5CA8" w:rsidR="00072A91" w:rsidRDefault="00072A91" w:rsidP="004F6795">
      <w:pPr>
        <w:spacing w:before="0" w:line="259" w:lineRule="auto"/>
        <w:rPr>
          <w:noProof/>
        </w:rPr>
      </w:pPr>
    </w:p>
    <w:p w14:paraId="46D163E2" w14:textId="69F1C08C" w:rsidR="00A12A6E" w:rsidRDefault="00A12A6E" w:rsidP="004F6795">
      <w:pPr>
        <w:spacing w:before="0" w:line="259" w:lineRule="auto"/>
        <w:rPr>
          <w:noProof/>
        </w:rPr>
      </w:pPr>
    </w:p>
    <w:p w14:paraId="0E9959DF" w14:textId="3E918C69" w:rsidR="009B2D9E" w:rsidRDefault="006915E1" w:rsidP="004F6795">
      <w:pPr>
        <w:spacing w:before="0" w:line="259" w:lineRule="auto"/>
        <w:rPr>
          <w:noProof/>
        </w:rPr>
      </w:pPr>
      <w:r>
        <w:rPr>
          <w:noProof/>
        </w:rPr>
        <w:drawing>
          <wp:inline distT="0" distB="0" distL="0" distR="0" wp14:anchorId="6B1FDA80" wp14:editId="608EA21C">
            <wp:extent cx="6477376" cy="353377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134" cy="354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B03CE4" w14:textId="77777777" w:rsidR="00691921" w:rsidRPr="00691921" w:rsidRDefault="00691921" w:rsidP="00691921">
      <w:pPr>
        <w:rPr>
          <w:noProof/>
          <w:sz w:val="20"/>
          <w:szCs w:val="20"/>
        </w:rPr>
      </w:pPr>
      <w:r w:rsidRPr="00691921">
        <w:rPr>
          <w:b/>
          <w:bCs/>
          <w:noProof/>
          <w:sz w:val="20"/>
          <w:szCs w:val="20"/>
        </w:rPr>
        <w:t>Fuente:</w:t>
      </w:r>
      <w:r w:rsidRPr="00691921">
        <w:rPr>
          <w:noProof/>
          <w:sz w:val="20"/>
          <w:szCs w:val="20"/>
        </w:rPr>
        <w:t xml:space="preserve"> Cuenta Pùblica del municipio de Centro de 2022 a 2024</w:t>
      </w:r>
    </w:p>
    <w:p w14:paraId="775737D5" w14:textId="1B732261" w:rsidR="00A12A6E" w:rsidRDefault="00A12A6E" w:rsidP="00024109">
      <w:pPr>
        <w:rPr>
          <w:noProof/>
          <w:sz w:val="20"/>
          <w:szCs w:val="20"/>
        </w:rPr>
      </w:pPr>
    </w:p>
    <w:p w14:paraId="5A811B80" w14:textId="77777777" w:rsidR="00A12A6E" w:rsidRPr="00024109" w:rsidRDefault="00A12A6E" w:rsidP="00024109">
      <w:pPr>
        <w:rPr>
          <w:noProof/>
          <w:sz w:val="20"/>
          <w:szCs w:val="20"/>
        </w:rPr>
      </w:pPr>
    </w:p>
    <w:p w14:paraId="1505C3D7" w14:textId="651CCDAB" w:rsidR="00124F44" w:rsidRDefault="006915E1" w:rsidP="004F6795">
      <w:pPr>
        <w:spacing w:before="0" w:line="259" w:lineRule="auto"/>
        <w:rPr>
          <w:noProof/>
        </w:rPr>
      </w:pPr>
      <w:r>
        <w:rPr>
          <w:noProof/>
        </w:rPr>
        <w:drawing>
          <wp:inline distT="0" distB="0" distL="0" distR="0" wp14:anchorId="0A5E1A75" wp14:editId="7D6D2DD6">
            <wp:extent cx="6478270" cy="3642808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826" cy="3648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171682" w14:textId="77777777" w:rsidR="00691921" w:rsidRPr="00691921" w:rsidRDefault="00691921" w:rsidP="00691921">
      <w:pPr>
        <w:rPr>
          <w:noProof/>
          <w:sz w:val="20"/>
          <w:szCs w:val="20"/>
        </w:rPr>
      </w:pPr>
      <w:r w:rsidRPr="00691921">
        <w:rPr>
          <w:b/>
          <w:bCs/>
          <w:noProof/>
          <w:sz w:val="20"/>
          <w:szCs w:val="20"/>
        </w:rPr>
        <w:t>Fuente:</w:t>
      </w:r>
      <w:r w:rsidRPr="00691921">
        <w:rPr>
          <w:noProof/>
          <w:sz w:val="20"/>
          <w:szCs w:val="20"/>
        </w:rPr>
        <w:t xml:space="preserve"> Cuenta Pùblica del municipio de Centro de 2022 a 2024</w:t>
      </w:r>
    </w:p>
    <w:p w14:paraId="1D0B06F8" w14:textId="77777777" w:rsidR="00691921" w:rsidRDefault="00691921" w:rsidP="004F6795">
      <w:pPr>
        <w:spacing w:before="0" w:line="259" w:lineRule="auto"/>
        <w:rPr>
          <w:noProof/>
        </w:rPr>
      </w:pPr>
    </w:p>
    <w:p w14:paraId="4A6CCB6A" w14:textId="037C4A7B" w:rsidR="005F0D18" w:rsidRDefault="005F0D18" w:rsidP="005F0D18">
      <w:pPr>
        <w:pStyle w:val="Ttulo1"/>
      </w:pPr>
      <w:r w:rsidRPr="00A45BAA">
        <w:lastRenderedPageBreak/>
        <w:t xml:space="preserve">Servicios de </w:t>
      </w:r>
      <w:r w:rsidR="00882E6B" w:rsidRPr="00A45BAA">
        <w:t>Parque y Jardines</w:t>
      </w:r>
      <w:r w:rsidR="00882E6B">
        <w:t xml:space="preserve"> </w:t>
      </w:r>
    </w:p>
    <w:p w14:paraId="4AC490C7" w14:textId="0E4A1C63" w:rsidR="005F0D18" w:rsidRDefault="005F0D18" w:rsidP="005F0D18">
      <w:pPr>
        <w:pStyle w:val="Ttulo2"/>
      </w:pPr>
      <w:r>
        <w:t xml:space="preserve">Resumen </w:t>
      </w:r>
    </w:p>
    <w:p w14:paraId="191D67A3" w14:textId="678FA5BA" w:rsidR="00F712A8" w:rsidRPr="00F712A8" w:rsidRDefault="00F712A8" w:rsidP="00F712A8">
      <w:pPr>
        <w:rPr>
          <w:rFonts w:cs="Arial"/>
          <w:sz w:val="24"/>
          <w:lang w:val="es-MX"/>
        </w:rPr>
      </w:pPr>
      <w:r w:rsidRPr="00F712A8">
        <w:rPr>
          <w:rFonts w:cs="Arial"/>
          <w:sz w:val="24"/>
          <w:lang w:val="es-MX"/>
        </w:rPr>
        <w:t xml:space="preserve">Con el propósito </w:t>
      </w:r>
      <w:r w:rsidR="00882E6B">
        <w:rPr>
          <w:rFonts w:cs="Arial"/>
          <w:sz w:val="24"/>
          <w:lang w:val="es-MX"/>
        </w:rPr>
        <w:t>de disponer de mejores</w:t>
      </w:r>
      <w:r w:rsidR="00A753D8">
        <w:rPr>
          <w:rFonts w:cs="Arial"/>
          <w:b/>
          <w:bCs/>
          <w:sz w:val="24"/>
          <w:lang w:val="es-MX"/>
        </w:rPr>
        <w:t xml:space="preserve"> espacios públicos, </w:t>
      </w:r>
      <w:r w:rsidRPr="00F712A8">
        <w:rPr>
          <w:rFonts w:cs="Arial"/>
          <w:sz w:val="24"/>
          <w:lang w:val="es-MX"/>
        </w:rPr>
        <w:t xml:space="preserve">el Gobierno Municipal de Centro destinó una inversión total de </w:t>
      </w:r>
      <w:r w:rsidR="006A2A78">
        <w:rPr>
          <w:rFonts w:cs="Arial"/>
          <w:b/>
          <w:bCs/>
          <w:sz w:val="24"/>
          <w:lang w:val="es-MX"/>
        </w:rPr>
        <w:t>6</w:t>
      </w:r>
      <w:r w:rsidR="00E24D7C">
        <w:rPr>
          <w:rFonts w:cs="Arial"/>
          <w:b/>
          <w:bCs/>
          <w:sz w:val="24"/>
          <w:lang w:val="es-MX"/>
        </w:rPr>
        <w:t>5</w:t>
      </w:r>
      <w:r w:rsidR="00C679A2">
        <w:rPr>
          <w:rFonts w:cs="Arial"/>
          <w:b/>
          <w:bCs/>
          <w:sz w:val="24"/>
          <w:lang w:val="es-MX"/>
        </w:rPr>
        <w:t>3</w:t>
      </w:r>
      <w:r w:rsidR="00E24D7C">
        <w:rPr>
          <w:rFonts w:cs="Arial"/>
          <w:b/>
          <w:bCs/>
          <w:sz w:val="24"/>
          <w:lang w:val="es-MX"/>
        </w:rPr>
        <w:t>.</w:t>
      </w:r>
      <w:r w:rsidR="006A2A78">
        <w:rPr>
          <w:rFonts w:cs="Arial"/>
          <w:b/>
          <w:bCs/>
          <w:sz w:val="24"/>
          <w:lang w:val="es-MX"/>
        </w:rPr>
        <w:t>9</w:t>
      </w:r>
      <w:r w:rsidRPr="00F712A8">
        <w:rPr>
          <w:rFonts w:cs="Arial"/>
          <w:b/>
          <w:bCs/>
          <w:sz w:val="24"/>
          <w:lang w:val="es-MX"/>
        </w:rPr>
        <w:t xml:space="preserve"> </w:t>
      </w:r>
      <w:r w:rsidR="00E24D7C">
        <w:rPr>
          <w:rFonts w:cs="Arial"/>
          <w:b/>
          <w:bCs/>
          <w:sz w:val="24"/>
          <w:lang w:val="es-MX"/>
        </w:rPr>
        <w:t>millones de pesos</w:t>
      </w:r>
      <w:r w:rsidR="00FA31C5">
        <w:rPr>
          <w:rFonts w:cs="Arial"/>
          <w:b/>
          <w:bCs/>
          <w:sz w:val="24"/>
          <w:lang w:val="es-MX"/>
        </w:rPr>
        <w:t>,</w:t>
      </w:r>
      <w:r w:rsidR="00E24D7C" w:rsidRPr="00F712A8">
        <w:rPr>
          <w:rFonts w:cs="Arial"/>
          <w:sz w:val="24"/>
          <w:lang w:val="es-MX"/>
        </w:rPr>
        <w:t xml:space="preserve"> </w:t>
      </w:r>
      <w:r w:rsidRPr="00F712A8">
        <w:rPr>
          <w:rFonts w:cs="Arial"/>
          <w:sz w:val="24"/>
          <w:lang w:val="es-MX"/>
        </w:rPr>
        <w:t xml:space="preserve">entre </w:t>
      </w:r>
      <w:r w:rsidRPr="006A2A78">
        <w:rPr>
          <w:rFonts w:cs="Arial"/>
          <w:sz w:val="24"/>
          <w:lang w:val="es-MX"/>
        </w:rPr>
        <w:t>2022</w:t>
      </w:r>
      <w:r w:rsidR="006A2A78" w:rsidRPr="006A2A78">
        <w:rPr>
          <w:rFonts w:cs="Arial"/>
          <w:sz w:val="24"/>
          <w:lang w:val="es-MX"/>
        </w:rPr>
        <w:t xml:space="preserve"> y 2024,</w:t>
      </w:r>
      <w:r w:rsidRPr="00F712A8">
        <w:rPr>
          <w:rFonts w:cs="Arial"/>
          <w:sz w:val="24"/>
          <w:lang w:val="es-MX"/>
        </w:rPr>
        <w:t xml:space="preserve"> </w:t>
      </w:r>
      <w:r w:rsidR="0060466A">
        <w:rPr>
          <w:rFonts w:cs="Arial"/>
          <w:sz w:val="24"/>
          <w:lang w:val="es-MX"/>
        </w:rPr>
        <w:t xml:space="preserve">a </w:t>
      </w:r>
      <w:r w:rsidR="00A45BAA">
        <w:rPr>
          <w:rFonts w:cs="Arial"/>
          <w:sz w:val="24"/>
          <w:lang w:val="es-MX"/>
        </w:rPr>
        <w:t>la</w:t>
      </w:r>
      <w:r w:rsidR="0060466A">
        <w:rPr>
          <w:rFonts w:cs="Arial"/>
          <w:sz w:val="24"/>
          <w:lang w:val="es-MX"/>
        </w:rPr>
        <w:t xml:space="preserve"> </w:t>
      </w:r>
      <w:r w:rsidR="00882E6B">
        <w:rPr>
          <w:rFonts w:cs="Arial"/>
          <w:sz w:val="24"/>
          <w:lang w:val="es-MX"/>
        </w:rPr>
        <w:t xml:space="preserve">operación y </w:t>
      </w:r>
      <w:r w:rsidR="0060466A">
        <w:rPr>
          <w:rFonts w:cs="Arial"/>
          <w:sz w:val="24"/>
          <w:lang w:val="es-MX"/>
        </w:rPr>
        <w:t>mantenimiento y modernización de</w:t>
      </w:r>
      <w:r w:rsidR="00882E6B">
        <w:rPr>
          <w:rFonts w:cs="Arial"/>
          <w:sz w:val="24"/>
          <w:lang w:val="es-MX"/>
        </w:rPr>
        <w:t>l servicio</w:t>
      </w:r>
      <w:r w:rsidR="00D501E3">
        <w:rPr>
          <w:rFonts w:cs="Arial"/>
          <w:sz w:val="24"/>
          <w:lang w:val="es-MX"/>
        </w:rPr>
        <w:t xml:space="preserve">, </w:t>
      </w:r>
      <w:r w:rsidR="00D501E3">
        <w:rPr>
          <w:bCs/>
          <w:sz w:val="24"/>
        </w:rPr>
        <w:t xml:space="preserve">de los cuales; en gastos de operación se ejerció </w:t>
      </w:r>
      <w:r w:rsidR="006A2A78">
        <w:rPr>
          <w:b/>
          <w:sz w:val="24"/>
        </w:rPr>
        <w:t>516.4</w:t>
      </w:r>
      <w:r w:rsidR="00D501E3" w:rsidRPr="00D501E3">
        <w:rPr>
          <w:b/>
          <w:sz w:val="24"/>
        </w:rPr>
        <w:t xml:space="preserve"> millones</w:t>
      </w:r>
      <w:r w:rsidR="00D501E3">
        <w:rPr>
          <w:bCs/>
          <w:sz w:val="24"/>
        </w:rPr>
        <w:t xml:space="preserve">, equipamiento </w:t>
      </w:r>
      <w:r w:rsidR="006A2A78">
        <w:rPr>
          <w:b/>
          <w:sz w:val="24"/>
        </w:rPr>
        <w:t>17</w:t>
      </w:r>
      <w:r w:rsidR="00D501E3">
        <w:rPr>
          <w:b/>
          <w:sz w:val="24"/>
        </w:rPr>
        <w:t>.</w:t>
      </w:r>
      <w:r w:rsidR="006A2A78">
        <w:rPr>
          <w:b/>
          <w:sz w:val="24"/>
        </w:rPr>
        <w:t>8</w:t>
      </w:r>
      <w:r w:rsidR="00D501E3" w:rsidRPr="00D501E3">
        <w:rPr>
          <w:b/>
          <w:sz w:val="24"/>
        </w:rPr>
        <w:t xml:space="preserve"> millones</w:t>
      </w:r>
      <w:r w:rsidR="00D501E3">
        <w:rPr>
          <w:bCs/>
          <w:sz w:val="24"/>
        </w:rPr>
        <w:t xml:space="preserve"> </w:t>
      </w:r>
      <w:r w:rsidR="00D501E3" w:rsidRPr="00B43731">
        <w:rPr>
          <w:bCs/>
          <w:sz w:val="24"/>
        </w:rPr>
        <w:t xml:space="preserve">y en infraestructura </w:t>
      </w:r>
      <w:r w:rsidR="00B43731" w:rsidRPr="00B43731">
        <w:rPr>
          <w:b/>
          <w:sz w:val="24"/>
        </w:rPr>
        <w:t>1</w:t>
      </w:r>
      <w:r w:rsidR="006A2A78">
        <w:rPr>
          <w:b/>
          <w:sz w:val="24"/>
        </w:rPr>
        <w:t>19</w:t>
      </w:r>
      <w:r w:rsidR="00B43731" w:rsidRPr="00B43731">
        <w:rPr>
          <w:b/>
          <w:sz w:val="24"/>
        </w:rPr>
        <w:t>.</w:t>
      </w:r>
      <w:r w:rsidR="006A2A78">
        <w:rPr>
          <w:b/>
          <w:sz w:val="24"/>
        </w:rPr>
        <w:t>7</w:t>
      </w:r>
      <w:r w:rsidR="00D501E3" w:rsidRPr="00B43731">
        <w:rPr>
          <w:b/>
          <w:sz w:val="24"/>
        </w:rPr>
        <w:t xml:space="preserve"> millones</w:t>
      </w:r>
      <w:r w:rsidR="00B43731">
        <w:rPr>
          <w:b/>
          <w:sz w:val="24"/>
        </w:rPr>
        <w:t>.</w:t>
      </w:r>
    </w:p>
    <w:p w14:paraId="6DC2CA15" w14:textId="3EB1AF74" w:rsidR="005F0D18" w:rsidRPr="004A7B84" w:rsidRDefault="005F0D18" w:rsidP="005F0D18">
      <w:pPr>
        <w:rPr>
          <w:rFonts w:cs="Arial"/>
          <w:sz w:val="24"/>
        </w:rPr>
      </w:pPr>
      <w:r w:rsidRPr="004A7B84">
        <w:rPr>
          <w:rFonts w:cs="Arial"/>
          <w:sz w:val="24"/>
        </w:rPr>
        <w:t>En la ciudad de Villahermosa se localizan 171 espacios públicos, incluyendo 150 parques urbanos y 55 parques rurales, lo que evidencia un esfuerzo continuo por dotar de áreas recreativas a la población.</w:t>
      </w:r>
    </w:p>
    <w:p w14:paraId="3970D007" w14:textId="0D14B2AD" w:rsidR="00882E6B" w:rsidRDefault="00882E6B" w:rsidP="005F0D18">
      <w:pPr>
        <w:rPr>
          <w:rFonts w:cs="Arial"/>
          <w:sz w:val="24"/>
        </w:rPr>
      </w:pPr>
    </w:p>
    <w:p w14:paraId="6E175D47" w14:textId="77777777" w:rsidR="001147C1" w:rsidRPr="00C77EF3" w:rsidRDefault="001147C1" w:rsidP="005F0D18">
      <w:pPr>
        <w:rPr>
          <w:rFonts w:cs="Arial"/>
          <w:sz w:val="24"/>
        </w:rPr>
      </w:pPr>
    </w:p>
    <w:p w14:paraId="4ED4743D" w14:textId="7E46F1FE" w:rsidR="005F0D18" w:rsidRDefault="005F0D18" w:rsidP="005F0D18">
      <w:pPr>
        <w:pStyle w:val="Ttulo2"/>
      </w:pPr>
      <w:r>
        <w:t xml:space="preserve">Inversión </w:t>
      </w:r>
    </w:p>
    <w:p w14:paraId="185107F3" w14:textId="19CB42A5" w:rsidR="009B2D9E" w:rsidRDefault="009B2D9E" w:rsidP="004F6795">
      <w:pPr>
        <w:spacing w:before="0" w:line="259" w:lineRule="auto"/>
        <w:rPr>
          <w:noProof/>
        </w:rPr>
      </w:pPr>
    </w:p>
    <w:p w14:paraId="25C869E4" w14:textId="77777777" w:rsidR="0038111B" w:rsidRDefault="0038111B" w:rsidP="004F6795">
      <w:pPr>
        <w:spacing w:before="0" w:line="259" w:lineRule="auto"/>
        <w:rPr>
          <w:noProof/>
        </w:rPr>
      </w:pPr>
    </w:p>
    <w:p w14:paraId="65FBE6F5" w14:textId="5D241EA7" w:rsidR="00882E6B" w:rsidRDefault="001147C1" w:rsidP="004F6795">
      <w:pPr>
        <w:spacing w:before="0" w:line="259" w:lineRule="auto"/>
        <w:rPr>
          <w:noProof/>
        </w:rPr>
      </w:pPr>
      <w:r>
        <w:rPr>
          <w:noProof/>
        </w:rPr>
        <w:drawing>
          <wp:inline distT="0" distB="0" distL="0" distR="0" wp14:anchorId="467E5D11" wp14:editId="5311450B">
            <wp:extent cx="6375129" cy="3590925"/>
            <wp:effectExtent l="0" t="0" r="698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962" cy="3598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C75ED4" w14:textId="77777777" w:rsidR="00691921" w:rsidRPr="00691921" w:rsidRDefault="00691921" w:rsidP="00691921">
      <w:pPr>
        <w:rPr>
          <w:noProof/>
          <w:sz w:val="20"/>
          <w:szCs w:val="20"/>
        </w:rPr>
      </w:pPr>
      <w:r w:rsidRPr="00691921">
        <w:rPr>
          <w:b/>
          <w:bCs/>
          <w:noProof/>
          <w:sz w:val="20"/>
          <w:szCs w:val="20"/>
        </w:rPr>
        <w:t>Fuente:</w:t>
      </w:r>
      <w:r w:rsidRPr="00691921">
        <w:rPr>
          <w:noProof/>
          <w:sz w:val="20"/>
          <w:szCs w:val="20"/>
        </w:rPr>
        <w:t xml:space="preserve"> Cuenta Pùblica del municipio de Centro de 2022 a 2024</w:t>
      </w:r>
    </w:p>
    <w:p w14:paraId="3C398B52" w14:textId="77777777" w:rsidR="00882E6B" w:rsidRDefault="00882E6B" w:rsidP="004F6795">
      <w:pPr>
        <w:spacing w:before="0" w:line="259" w:lineRule="auto"/>
        <w:rPr>
          <w:noProof/>
        </w:rPr>
      </w:pPr>
    </w:p>
    <w:p w14:paraId="24F5D250" w14:textId="77777777" w:rsidR="00882E6B" w:rsidRDefault="00882E6B" w:rsidP="004F6795">
      <w:pPr>
        <w:spacing w:before="0" w:line="259" w:lineRule="auto"/>
        <w:rPr>
          <w:noProof/>
        </w:rPr>
      </w:pPr>
    </w:p>
    <w:p w14:paraId="6DF1A6A7" w14:textId="77777777" w:rsidR="00882E6B" w:rsidRDefault="00882E6B" w:rsidP="004F6795">
      <w:pPr>
        <w:spacing w:before="0" w:line="259" w:lineRule="auto"/>
        <w:rPr>
          <w:noProof/>
        </w:rPr>
      </w:pPr>
    </w:p>
    <w:p w14:paraId="7B9B19E0" w14:textId="3D9C11E0" w:rsidR="005F0D18" w:rsidRDefault="005F0D18" w:rsidP="005F0D18">
      <w:pPr>
        <w:pStyle w:val="Ttulo1"/>
      </w:pPr>
      <w:r>
        <w:lastRenderedPageBreak/>
        <w:t xml:space="preserve">Servicios de Mercados Públicos </w:t>
      </w:r>
    </w:p>
    <w:p w14:paraId="083CB172" w14:textId="7A7969CE" w:rsidR="005F0D18" w:rsidRDefault="005F0D18" w:rsidP="005F0D18">
      <w:pPr>
        <w:pStyle w:val="Ttulo2"/>
      </w:pPr>
      <w:r>
        <w:t xml:space="preserve">Resumen </w:t>
      </w:r>
    </w:p>
    <w:p w14:paraId="72BC632B" w14:textId="192C7ABD" w:rsidR="005F0D18" w:rsidRPr="00186A69" w:rsidRDefault="005F0D18" w:rsidP="005F0D18">
      <w:pPr>
        <w:rPr>
          <w:bCs/>
          <w:sz w:val="24"/>
        </w:rPr>
      </w:pPr>
      <w:r w:rsidRPr="00186A69">
        <w:rPr>
          <w:bCs/>
          <w:sz w:val="24"/>
        </w:rPr>
        <w:t xml:space="preserve">El municipio de Centro administra una red de </w:t>
      </w:r>
      <w:r w:rsidRPr="00186A69">
        <w:rPr>
          <w:b/>
          <w:bCs/>
          <w:sz w:val="24"/>
        </w:rPr>
        <w:t>11 mercados públicos</w:t>
      </w:r>
      <w:r w:rsidRPr="00186A69">
        <w:rPr>
          <w:bCs/>
          <w:sz w:val="24"/>
        </w:rPr>
        <w:t xml:space="preserve">, entre los que destacan los de </w:t>
      </w:r>
      <w:r w:rsidRPr="00186A69">
        <w:rPr>
          <w:b/>
          <w:bCs/>
          <w:sz w:val="24"/>
        </w:rPr>
        <w:t>José María Pino Suárez</w:t>
      </w:r>
      <w:r w:rsidRPr="00186A69">
        <w:rPr>
          <w:bCs/>
          <w:sz w:val="24"/>
        </w:rPr>
        <w:t xml:space="preserve">, </w:t>
      </w:r>
      <w:r w:rsidRPr="00186A69">
        <w:rPr>
          <w:b/>
          <w:bCs/>
          <w:sz w:val="24"/>
        </w:rPr>
        <w:t>Atasta</w:t>
      </w:r>
      <w:r w:rsidRPr="00186A69">
        <w:rPr>
          <w:bCs/>
          <w:sz w:val="24"/>
        </w:rPr>
        <w:t xml:space="preserve">, </w:t>
      </w:r>
      <w:r w:rsidRPr="00186A69">
        <w:rPr>
          <w:b/>
          <w:bCs/>
          <w:sz w:val="24"/>
        </w:rPr>
        <w:t>Tamulté</w:t>
      </w:r>
      <w:r w:rsidRPr="00186A69">
        <w:rPr>
          <w:bCs/>
          <w:sz w:val="24"/>
        </w:rPr>
        <w:t xml:space="preserve">, </w:t>
      </w:r>
      <w:r w:rsidRPr="00186A69">
        <w:rPr>
          <w:b/>
          <w:bCs/>
          <w:sz w:val="24"/>
        </w:rPr>
        <w:t>Gaviotas</w:t>
      </w:r>
      <w:r w:rsidRPr="00186A69">
        <w:rPr>
          <w:bCs/>
          <w:sz w:val="24"/>
        </w:rPr>
        <w:t xml:space="preserve">, </w:t>
      </w:r>
      <w:r w:rsidRPr="00186A69">
        <w:rPr>
          <w:b/>
          <w:bCs/>
          <w:sz w:val="24"/>
        </w:rPr>
        <w:t>Tierra Colorada</w:t>
      </w:r>
      <w:r w:rsidRPr="00186A69">
        <w:rPr>
          <w:bCs/>
          <w:sz w:val="24"/>
        </w:rPr>
        <w:t xml:space="preserve">, </w:t>
      </w:r>
      <w:r w:rsidRPr="00186A69">
        <w:rPr>
          <w:b/>
          <w:bCs/>
          <w:sz w:val="24"/>
        </w:rPr>
        <w:t>Casa Blanca</w:t>
      </w:r>
      <w:r w:rsidRPr="00186A69">
        <w:rPr>
          <w:bCs/>
          <w:sz w:val="24"/>
        </w:rPr>
        <w:t xml:space="preserve">, </w:t>
      </w:r>
      <w:r w:rsidRPr="00186A69">
        <w:rPr>
          <w:b/>
          <w:bCs/>
          <w:sz w:val="24"/>
        </w:rPr>
        <w:t>Playas del Rosario</w:t>
      </w:r>
      <w:r w:rsidRPr="00186A69">
        <w:rPr>
          <w:bCs/>
          <w:sz w:val="24"/>
        </w:rPr>
        <w:t xml:space="preserve"> y </w:t>
      </w:r>
      <w:r w:rsidRPr="00186A69">
        <w:rPr>
          <w:b/>
          <w:bCs/>
          <w:sz w:val="24"/>
        </w:rPr>
        <w:t xml:space="preserve">Villa </w:t>
      </w:r>
      <w:proofErr w:type="spellStart"/>
      <w:r w:rsidRPr="00186A69">
        <w:rPr>
          <w:b/>
          <w:bCs/>
          <w:sz w:val="24"/>
        </w:rPr>
        <w:t>Ocuiltzapotlán</w:t>
      </w:r>
      <w:proofErr w:type="spellEnd"/>
      <w:r w:rsidRPr="00186A69">
        <w:rPr>
          <w:bCs/>
          <w:sz w:val="24"/>
        </w:rPr>
        <w:t xml:space="preserve">, así como el </w:t>
      </w:r>
      <w:r w:rsidRPr="00186A69">
        <w:rPr>
          <w:b/>
          <w:bCs/>
          <w:sz w:val="24"/>
        </w:rPr>
        <w:t>mercado provisional de Villahermosa</w:t>
      </w:r>
      <w:r w:rsidRPr="00186A69">
        <w:rPr>
          <w:bCs/>
          <w:sz w:val="24"/>
        </w:rPr>
        <w:t xml:space="preserve">, ubicado en la colonia Casa Blanca, y un </w:t>
      </w:r>
      <w:r w:rsidRPr="00186A69">
        <w:rPr>
          <w:b/>
          <w:bCs/>
          <w:sz w:val="24"/>
        </w:rPr>
        <w:t>tianguis adicional</w:t>
      </w:r>
      <w:r w:rsidRPr="00186A69">
        <w:rPr>
          <w:bCs/>
          <w:sz w:val="24"/>
        </w:rPr>
        <w:t>.</w:t>
      </w:r>
    </w:p>
    <w:p w14:paraId="40355544" w14:textId="6DC4025B" w:rsidR="005F0D18" w:rsidRDefault="005F0D18" w:rsidP="00C42CB6">
      <w:pPr>
        <w:spacing w:before="0" w:line="240" w:lineRule="auto"/>
        <w:rPr>
          <w:bCs/>
          <w:sz w:val="24"/>
        </w:rPr>
      </w:pPr>
      <w:r w:rsidRPr="00186A69">
        <w:rPr>
          <w:bCs/>
          <w:sz w:val="24"/>
        </w:rPr>
        <w:t xml:space="preserve">Entre </w:t>
      </w:r>
      <w:r w:rsidRPr="00B64866">
        <w:rPr>
          <w:sz w:val="24"/>
        </w:rPr>
        <w:t xml:space="preserve">2022 </w:t>
      </w:r>
      <w:r w:rsidR="00B64866" w:rsidRPr="00B64866">
        <w:rPr>
          <w:sz w:val="24"/>
        </w:rPr>
        <w:t>y 2024</w:t>
      </w:r>
      <w:r w:rsidRPr="00186A69">
        <w:rPr>
          <w:bCs/>
          <w:sz w:val="24"/>
        </w:rPr>
        <w:t>, se destinaron</w:t>
      </w:r>
      <w:r w:rsidR="00C42CB6" w:rsidRPr="00C42CB6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="00B64866">
        <w:rPr>
          <w:b/>
          <w:bCs/>
          <w:sz w:val="24"/>
        </w:rPr>
        <w:t>192.1</w:t>
      </w:r>
      <w:r w:rsidRPr="00186A69">
        <w:rPr>
          <w:b/>
          <w:bCs/>
          <w:sz w:val="24"/>
        </w:rPr>
        <w:t xml:space="preserve"> millones de pesos</w:t>
      </w:r>
      <w:r w:rsidRPr="00186A69">
        <w:rPr>
          <w:bCs/>
          <w:sz w:val="24"/>
        </w:rPr>
        <w:t xml:space="preserve"> para la operación, mantenimiento y mejora de esta infraestructura estratégica para el abasto popular</w:t>
      </w:r>
      <w:r w:rsidR="00882E6B">
        <w:rPr>
          <w:bCs/>
          <w:sz w:val="24"/>
        </w:rPr>
        <w:t xml:space="preserve"> de los cuales; </w:t>
      </w:r>
      <w:r w:rsidR="00D501E3">
        <w:rPr>
          <w:bCs/>
          <w:sz w:val="24"/>
        </w:rPr>
        <w:t xml:space="preserve">en gastos de operación de ejerció </w:t>
      </w:r>
      <w:r w:rsidR="00FB666F">
        <w:rPr>
          <w:b/>
          <w:sz w:val="24"/>
        </w:rPr>
        <w:t>160.6</w:t>
      </w:r>
      <w:r w:rsidR="00D501E3" w:rsidRPr="00D501E3">
        <w:rPr>
          <w:b/>
          <w:sz w:val="24"/>
        </w:rPr>
        <w:t xml:space="preserve"> millones</w:t>
      </w:r>
      <w:r w:rsidR="00D501E3">
        <w:rPr>
          <w:bCs/>
          <w:sz w:val="24"/>
        </w:rPr>
        <w:t xml:space="preserve">, equipamiento </w:t>
      </w:r>
      <w:r w:rsidR="003F0E74" w:rsidRPr="003F0E74">
        <w:rPr>
          <w:b/>
          <w:sz w:val="24"/>
        </w:rPr>
        <w:t>0</w:t>
      </w:r>
      <w:r w:rsidR="00D501E3" w:rsidRPr="00D501E3">
        <w:rPr>
          <w:b/>
          <w:sz w:val="24"/>
        </w:rPr>
        <w:t>.</w:t>
      </w:r>
      <w:r w:rsidR="00FB666F">
        <w:rPr>
          <w:b/>
          <w:sz w:val="24"/>
        </w:rPr>
        <w:t>1</w:t>
      </w:r>
      <w:r w:rsidR="00D501E3" w:rsidRPr="00D501E3">
        <w:rPr>
          <w:b/>
          <w:sz w:val="24"/>
        </w:rPr>
        <w:t xml:space="preserve"> millones</w:t>
      </w:r>
      <w:r w:rsidR="00D501E3">
        <w:rPr>
          <w:bCs/>
          <w:sz w:val="24"/>
        </w:rPr>
        <w:t xml:space="preserve"> y en infraestructura </w:t>
      </w:r>
      <w:r w:rsidR="00FB666F">
        <w:rPr>
          <w:b/>
          <w:sz w:val="24"/>
        </w:rPr>
        <w:t>31</w:t>
      </w:r>
      <w:r w:rsidR="00D501E3" w:rsidRPr="00D501E3">
        <w:rPr>
          <w:b/>
          <w:sz w:val="24"/>
        </w:rPr>
        <w:t>.</w:t>
      </w:r>
      <w:r w:rsidR="00FB666F">
        <w:rPr>
          <w:b/>
          <w:sz w:val="24"/>
        </w:rPr>
        <w:t>4</w:t>
      </w:r>
      <w:r w:rsidR="00D501E3" w:rsidRPr="00D501E3">
        <w:rPr>
          <w:b/>
          <w:sz w:val="24"/>
        </w:rPr>
        <w:t xml:space="preserve"> millones</w:t>
      </w:r>
      <w:r w:rsidR="00D501E3">
        <w:rPr>
          <w:bCs/>
          <w:sz w:val="24"/>
        </w:rPr>
        <w:t xml:space="preserve">, </w:t>
      </w:r>
      <w:r w:rsidR="00882E6B">
        <w:rPr>
          <w:bCs/>
          <w:sz w:val="24"/>
        </w:rPr>
        <w:t>c</w:t>
      </w:r>
      <w:r w:rsidRPr="00186A69">
        <w:rPr>
          <w:bCs/>
          <w:sz w:val="24"/>
        </w:rPr>
        <w:t xml:space="preserve">omo parte de este esfuerzo, se ejecutaron </w:t>
      </w:r>
      <w:r w:rsidRPr="00186A69">
        <w:rPr>
          <w:b/>
          <w:bCs/>
          <w:sz w:val="24"/>
        </w:rPr>
        <w:t>19 obras de rehabilitación</w:t>
      </w:r>
      <w:r w:rsidRPr="00186A69">
        <w:rPr>
          <w:bCs/>
          <w:sz w:val="24"/>
        </w:rPr>
        <w:t xml:space="preserve">, que beneficiaron directamente a </w:t>
      </w:r>
      <w:r w:rsidRPr="00186A69">
        <w:rPr>
          <w:b/>
          <w:bCs/>
          <w:sz w:val="24"/>
        </w:rPr>
        <w:t>seis mercados públicos</w:t>
      </w:r>
      <w:r w:rsidRPr="00186A69">
        <w:rPr>
          <w:bCs/>
          <w:sz w:val="24"/>
        </w:rPr>
        <w:t xml:space="preserve"> y al </w:t>
      </w:r>
      <w:r w:rsidRPr="00186A69">
        <w:rPr>
          <w:b/>
          <w:bCs/>
          <w:sz w:val="24"/>
        </w:rPr>
        <w:t>mercado provisional de Casa Blanca</w:t>
      </w:r>
      <w:r w:rsidRPr="00186A69">
        <w:rPr>
          <w:bCs/>
          <w:sz w:val="24"/>
        </w:rPr>
        <w:t>.</w:t>
      </w:r>
    </w:p>
    <w:p w14:paraId="2BDBE199" w14:textId="7E65CC22" w:rsidR="00E91E80" w:rsidRDefault="00E91E80" w:rsidP="00C42CB6">
      <w:pPr>
        <w:spacing w:before="0" w:line="240" w:lineRule="auto"/>
        <w:rPr>
          <w:rFonts w:ascii="Arial Narrow" w:eastAsia="Times New Roman" w:hAnsi="Arial Narrow" w:cs="Calibri"/>
          <w:color w:val="000000"/>
          <w:sz w:val="22"/>
          <w:szCs w:val="22"/>
          <w:lang w:val="es-MX" w:eastAsia="es-MX"/>
        </w:rPr>
      </w:pPr>
    </w:p>
    <w:p w14:paraId="22554125" w14:textId="77777777" w:rsidR="0042228D" w:rsidRPr="00C42CB6" w:rsidRDefault="0042228D" w:rsidP="00C42CB6">
      <w:pPr>
        <w:spacing w:before="0" w:line="240" w:lineRule="auto"/>
        <w:rPr>
          <w:rFonts w:ascii="Arial Narrow" w:eastAsia="Times New Roman" w:hAnsi="Arial Narrow" w:cs="Calibri"/>
          <w:color w:val="000000"/>
          <w:sz w:val="22"/>
          <w:szCs w:val="22"/>
          <w:lang w:val="es-MX" w:eastAsia="es-MX"/>
        </w:rPr>
      </w:pPr>
    </w:p>
    <w:p w14:paraId="0C6F5D42" w14:textId="02BE8C52" w:rsidR="005F0D18" w:rsidRDefault="005F0D18" w:rsidP="005F0D18">
      <w:pPr>
        <w:pStyle w:val="Ttulo2"/>
      </w:pPr>
      <w:r>
        <w:t xml:space="preserve">Inversión </w:t>
      </w:r>
    </w:p>
    <w:p w14:paraId="3766F7C5" w14:textId="043C2294" w:rsidR="00C24B01" w:rsidRDefault="00C24B01" w:rsidP="00C24B01"/>
    <w:p w14:paraId="12072B5C" w14:textId="77777777" w:rsidR="00C24B01" w:rsidRPr="00C24B01" w:rsidRDefault="00C24B01" w:rsidP="00C24B01"/>
    <w:p w14:paraId="1FD2F8AF" w14:textId="2FCD9059" w:rsidR="005F0D18" w:rsidRDefault="0042228D" w:rsidP="004F6795">
      <w:pPr>
        <w:spacing w:before="0" w:line="259" w:lineRule="auto"/>
      </w:pPr>
      <w:r>
        <w:rPr>
          <w:noProof/>
        </w:rPr>
        <w:drawing>
          <wp:inline distT="0" distB="0" distL="0" distR="0" wp14:anchorId="5C815E87" wp14:editId="2D9CD1A7">
            <wp:extent cx="6485890" cy="339090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346" cy="3400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8DD08B" w14:textId="77777777" w:rsidR="00691921" w:rsidRPr="00691921" w:rsidRDefault="00691921" w:rsidP="00691921">
      <w:pPr>
        <w:rPr>
          <w:noProof/>
          <w:sz w:val="20"/>
          <w:szCs w:val="20"/>
        </w:rPr>
      </w:pPr>
      <w:r w:rsidRPr="00691921">
        <w:rPr>
          <w:b/>
          <w:bCs/>
          <w:noProof/>
          <w:sz w:val="20"/>
          <w:szCs w:val="20"/>
        </w:rPr>
        <w:t>Fuente:</w:t>
      </w:r>
      <w:r w:rsidRPr="00691921">
        <w:rPr>
          <w:noProof/>
          <w:sz w:val="20"/>
          <w:szCs w:val="20"/>
        </w:rPr>
        <w:t xml:space="preserve"> Cuenta Pùblica del municipio de Centro de 2022 a 2024</w:t>
      </w:r>
    </w:p>
    <w:p w14:paraId="3930CF2E" w14:textId="391D6B6C" w:rsidR="00C42CB6" w:rsidRDefault="00C42CB6" w:rsidP="004F6795">
      <w:pPr>
        <w:spacing w:before="0" w:line="259" w:lineRule="auto"/>
        <w:rPr>
          <w:noProof/>
        </w:rPr>
      </w:pPr>
    </w:p>
    <w:p w14:paraId="49CFD066" w14:textId="77777777" w:rsidR="009B2D9E" w:rsidRDefault="009B2D9E" w:rsidP="004F6795">
      <w:pPr>
        <w:spacing w:before="0" w:line="259" w:lineRule="auto"/>
        <w:rPr>
          <w:noProof/>
        </w:rPr>
      </w:pPr>
    </w:p>
    <w:p w14:paraId="3442C233" w14:textId="77777777" w:rsidR="009B2D9E" w:rsidRDefault="009B2D9E" w:rsidP="004F6795">
      <w:pPr>
        <w:spacing w:before="0" w:line="259" w:lineRule="auto"/>
        <w:rPr>
          <w:noProof/>
        </w:rPr>
      </w:pPr>
    </w:p>
    <w:p w14:paraId="35E64CF8" w14:textId="6C65D9C1" w:rsidR="00B80085" w:rsidRDefault="00B80085" w:rsidP="00B80085">
      <w:pPr>
        <w:pStyle w:val="Ttulo1"/>
      </w:pPr>
      <w:r>
        <w:lastRenderedPageBreak/>
        <w:t xml:space="preserve">Servicios de Panteones </w:t>
      </w:r>
    </w:p>
    <w:p w14:paraId="5F2390DF" w14:textId="77777777" w:rsidR="00B80085" w:rsidRDefault="00B80085" w:rsidP="00B80085">
      <w:pPr>
        <w:pStyle w:val="Ttulo2"/>
      </w:pPr>
      <w:r>
        <w:t xml:space="preserve">Resumen </w:t>
      </w:r>
    </w:p>
    <w:p w14:paraId="54297078" w14:textId="309DEA42" w:rsidR="00324D74" w:rsidRDefault="00324D74" w:rsidP="004F6795">
      <w:pPr>
        <w:spacing w:before="0" w:line="259" w:lineRule="auto"/>
      </w:pPr>
      <w:r w:rsidRPr="00324D74">
        <w:t>El Municipio de Centro cuenta con una red de</w:t>
      </w:r>
      <w:r w:rsidRPr="00C81A5D">
        <w:rPr>
          <w:b/>
          <w:bCs/>
        </w:rPr>
        <w:t xml:space="preserve"> </w:t>
      </w:r>
      <w:r w:rsidRPr="00F7694B">
        <w:t>panteones</w:t>
      </w:r>
      <w:r w:rsidRPr="00324D74">
        <w:t xml:space="preserve"> distribuidos en su territorio, entre los que destacan el Panteón Central —con una antigüedad de 197 años—, así como los ubicados en las localidades de Atasta, Tamulté, Sabina y El Arbolito</w:t>
      </w:r>
      <w:r w:rsidR="00720B15">
        <w:t>, de los cuales 5 son administrados, 3 ubicados en zonas conurbada, 7 en villas, 76 en comunidades y 1 concesionado.</w:t>
      </w:r>
    </w:p>
    <w:p w14:paraId="61A29977" w14:textId="760AB613" w:rsidR="00B80085" w:rsidRDefault="00324D74" w:rsidP="004F6795">
      <w:pPr>
        <w:spacing w:before="0" w:line="259" w:lineRule="auto"/>
      </w:pPr>
      <w:r w:rsidRPr="00324D74">
        <w:t xml:space="preserve">Con el objetivo de garantizar su adecuada operación, conservación y dignificación, entre el año 2022 </w:t>
      </w:r>
      <w:r w:rsidR="000B304F">
        <w:t>y 2024</w:t>
      </w:r>
      <w:r w:rsidRPr="00324D74">
        <w:t xml:space="preserve"> se destinaron recursos por un monto total de </w:t>
      </w:r>
      <w:r w:rsidR="000B304F">
        <w:rPr>
          <w:b/>
          <w:bCs/>
        </w:rPr>
        <w:t>52</w:t>
      </w:r>
      <w:r w:rsidRPr="00324D74">
        <w:rPr>
          <w:b/>
          <w:bCs/>
        </w:rPr>
        <w:t>.</w:t>
      </w:r>
      <w:r w:rsidR="000B304F">
        <w:rPr>
          <w:b/>
          <w:bCs/>
        </w:rPr>
        <w:t>6</w:t>
      </w:r>
      <w:r w:rsidRPr="00324D74">
        <w:rPr>
          <w:b/>
          <w:bCs/>
        </w:rPr>
        <w:t xml:space="preserve"> millones de pesos</w:t>
      </w:r>
      <w:r w:rsidRPr="00324D74">
        <w:t xml:space="preserve">, orientados </w:t>
      </w:r>
      <w:r w:rsidR="0059076B">
        <w:t xml:space="preserve">principalmente </w:t>
      </w:r>
      <w:r w:rsidRPr="00324D74">
        <w:t>a labores de mantenimiento</w:t>
      </w:r>
      <w:r w:rsidR="00882E6B">
        <w:t xml:space="preserve"> y operación</w:t>
      </w:r>
      <w:r w:rsidRPr="00324D74">
        <w:t>.</w:t>
      </w:r>
    </w:p>
    <w:p w14:paraId="76E693F2" w14:textId="4C230511" w:rsidR="001C6633" w:rsidRDefault="001C6633" w:rsidP="004F6795">
      <w:pPr>
        <w:spacing w:before="0" w:line="259" w:lineRule="auto"/>
      </w:pPr>
    </w:p>
    <w:p w14:paraId="768649AB" w14:textId="77777777" w:rsidR="001C6633" w:rsidRDefault="001C6633" w:rsidP="004F6795">
      <w:pPr>
        <w:spacing w:before="0" w:line="259" w:lineRule="auto"/>
      </w:pPr>
    </w:p>
    <w:p w14:paraId="4CF998DF" w14:textId="6319E0C1" w:rsidR="00324D74" w:rsidRDefault="00324D74" w:rsidP="00324D74">
      <w:pPr>
        <w:pStyle w:val="Ttulo2"/>
      </w:pPr>
      <w:r>
        <w:t xml:space="preserve">Inversión </w:t>
      </w:r>
    </w:p>
    <w:p w14:paraId="7A5D3292" w14:textId="0F2E8FA9" w:rsidR="00324D74" w:rsidRDefault="00324D74" w:rsidP="004F6795">
      <w:pPr>
        <w:spacing w:before="0" w:line="259" w:lineRule="auto"/>
      </w:pPr>
    </w:p>
    <w:p w14:paraId="0849FB13" w14:textId="65FDB846" w:rsidR="00720135" w:rsidRDefault="001C6633" w:rsidP="004F6795">
      <w:pPr>
        <w:spacing w:before="0" w:line="259" w:lineRule="auto"/>
      </w:pPr>
      <w:r>
        <w:rPr>
          <w:noProof/>
        </w:rPr>
        <w:drawing>
          <wp:inline distT="0" distB="0" distL="0" distR="0" wp14:anchorId="6BDBDCE1" wp14:editId="30DE385E">
            <wp:extent cx="6519545" cy="379095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8299" cy="379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23CC28" w14:textId="77777777" w:rsidR="00691921" w:rsidRPr="00691921" w:rsidRDefault="00691921" w:rsidP="00691921">
      <w:pPr>
        <w:rPr>
          <w:noProof/>
          <w:sz w:val="20"/>
          <w:szCs w:val="20"/>
        </w:rPr>
      </w:pPr>
      <w:r w:rsidRPr="00691921">
        <w:rPr>
          <w:b/>
          <w:bCs/>
          <w:noProof/>
          <w:sz w:val="20"/>
          <w:szCs w:val="20"/>
        </w:rPr>
        <w:t>Fuente:</w:t>
      </w:r>
      <w:r w:rsidRPr="00691921">
        <w:rPr>
          <w:noProof/>
          <w:sz w:val="20"/>
          <w:szCs w:val="20"/>
        </w:rPr>
        <w:t xml:space="preserve"> Cuenta Pùblica del municipio de Centro de 2022 a 2024</w:t>
      </w:r>
    </w:p>
    <w:p w14:paraId="5138B28C" w14:textId="7533C952" w:rsidR="00324D74" w:rsidRDefault="00324D74" w:rsidP="004F6795">
      <w:pPr>
        <w:spacing w:before="0" w:line="259" w:lineRule="auto"/>
      </w:pPr>
    </w:p>
    <w:p w14:paraId="72DE886F" w14:textId="77777777" w:rsidR="00024109" w:rsidRDefault="00024109" w:rsidP="004F6795">
      <w:pPr>
        <w:spacing w:before="0" w:line="259" w:lineRule="auto"/>
      </w:pPr>
    </w:p>
    <w:p w14:paraId="1E3BD419" w14:textId="269214EF" w:rsidR="00213946" w:rsidRPr="00213946" w:rsidRDefault="00213946" w:rsidP="00213946">
      <w:pPr>
        <w:spacing w:before="0" w:line="259" w:lineRule="auto"/>
        <w:jc w:val="left"/>
        <w:rPr>
          <w:b/>
          <w:bCs/>
          <w:color w:val="C00000"/>
          <w:sz w:val="36"/>
          <w:szCs w:val="36"/>
        </w:rPr>
      </w:pPr>
    </w:p>
    <w:sectPr w:rsidR="00213946" w:rsidRPr="00213946" w:rsidSect="00124F44">
      <w:pgSz w:w="12240" w:h="15840" w:code="1"/>
      <w:pgMar w:top="56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21BB6" w14:textId="77777777" w:rsidR="00974F5F" w:rsidRDefault="00974F5F" w:rsidP="00037D29">
      <w:pPr>
        <w:spacing w:before="0" w:after="0" w:line="240" w:lineRule="auto"/>
      </w:pPr>
      <w:r>
        <w:separator/>
      </w:r>
    </w:p>
  </w:endnote>
  <w:endnote w:type="continuationSeparator" w:id="0">
    <w:p w14:paraId="7F2DE4C0" w14:textId="77777777" w:rsidR="00974F5F" w:rsidRDefault="00974F5F" w:rsidP="00037D2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zidenzGrotesk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11575" w14:textId="77777777" w:rsidR="00974F5F" w:rsidRDefault="00974F5F" w:rsidP="00037D29">
      <w:pPr>
        <w:spacing w:before="0" w:after="0" w:line="240" w:lineRule="auto"/>
      </w:pPr>
      <w:r>
        <w:separator/>
      </w:r>
    </w:p>
  </w:footnote>
  <w:footnote w:type="continuationSeparator" w:id="0">
    <w:p w14:paraId="46B17907" w14:textId="77777777" w:rsidR="00974F5F" w:rsidRDefault="00974F5F" w:rsidP="00037D2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29C1"/>
    <w:multiLevelType w:val="hybridMultilevel"/>
    <w:tmpl w:val="FD28A0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D54CD"/>
    <w:multiLevelType w:val="hybridMultilevel"/>
    <w:tmpl w:val="1BF83C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C3246"/>
    <w:multiLevelType w:val="hybridMultilevel"/>
    <w:tmpl w:val="B302F2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B6A1E"/>
    <w:multiLevelType w:val="multilevel"/>
    <w:tmpl w:val="86CC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F30064"/>
    <w:multiLevelType w:val="hybridMultilevel"/>
    <w:tmpl w:val="6EC63E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600F6"/>
    <w:multiLevelType w:val="hybridMultilevel"/>
    <w:tmpl w:val="0B700A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11362"/>
    <w:multiLevelType w:val="hybridMultilevel"/>
    <w:tmpl w:val="BA20FA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009DE"/>
    <w:multiLevelType w:val="hybridMultilevel"/>
    <w:tmpl w:val="D2FA4A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BD"/>
    <w:rsid w:val="000001F2"/>
    <w:rsid w:val="00013575"/>
    <w:rsid w:val="000143B6"/>
    <w:rsid w:val="00021A43"/>
    <w:rsid w:val="00024109"/>
    <w:rsid w:val="00037B61"/>
    <w:rsid w:val="00037D29"/>
    <w:rsid w:val="00043C72"/>
    <w:rsid w:val="00043E76"/>
    <w:rsid w:val="00051001"/>
    <w:rsid w:val="0005438B"/>
    <w:rsid w:val="00055B7D"/>
    <w:rsid w:val="000609D9"/>
    <w:rsid w:val="00072A91"/>
    <w:rsid w:val="00083548"/>
    <w:rsid w:val="00087BEB"/>
    <w:rsid w:val="000B304F"/>
    <w:rsid w:val="000E4E40"/>
    <w:rsid w:val="000E7A3C"/>
    <w:rsid w:val="000F0CAB"/>
    <w:rsid w:val="0010690C"/>
    <w:rsid w:val="00113714"/>
    <w:rsid w:val="001147C1"/>
    <w:rsid w:val="00120302"/>
    <w:rsid w:val="001203DC"/>
    <w:rsid w:val="00120797"/>
    <w:rsid w:val="0012368F"/>
    <w:rsid w:val="00124F44"/>
    <w:rsid w:val="00135539"/>
    <w:rsid w:val="00147E68"/>
    <w:rsid w:val="00153EA8"/>
    <w:rsid w:val="0016144B"/>
    <w:rsid w:val="0017241F"/>
    <w:rsid w:val="00175032"/>
    <w:rsid w:val="0019394E"/>
    <w:rsid w:val="0019401A"/>
    <w:rsid w:val="00196D81"/>
    <w:rsid w:val="001A70EE"/>
    <w:rsid w:val="001B4397"/>
    <w:rsid w:val="001B43D2"/>
    <w:rsid w:val="001B6966"/>
    <w:rsid w:val="001B7961"/>
    <w:rsid w:val="001C1243"/>
    <w:rsid w:val="001C5FFD"/>
    <w:rsid w:val="001C6633"/>
    <w:rsid w:val="001F7F76"/>
    <w:rsid w:val="00204A03"/>
    <w:rsid w:val="00207594"/>
    <w:rsid w:val="00212443"/>
    <w:rsid w:val="00213946"/>
    <w:rsid w:val="00225957"/>
    <w:rsid w:val="002327E8"/>
    <w:rsid w:val="00245938"/>
    <w:rsid w:val="00273941"/>
    <w:rsid w:val="002753E7"/>
    <w:rsid w:val="00275FAD"/>
    <w:rsid w:val="00280311"/>
    <w:rsid w:val="00284F98"/>
    <w:rsid w:val="00287648"/>
    <w:rsid w:val="00292E96"/>
    <w:rsid w:val="002C2148"/>
    <w:rsid w:val="002D4567"/>
    <w:rsid w:val="002D6AD9"/>
    <w:rsid w:val="002E0E33"/>
    <w:rsid w:val="002F1F57"/>
    <w:rsid w:val="002F3FD7"/>
    <w:rsid w:val="00315F27"/>
    <w:rsid w:val="003172AD"/>
    <w:rsid w:val="00320FE4"/>
    <w:rsid w:val="00324D74"/>
    <w:rsid w:val="00334916"/>
    <w:rsid w:val="00336B81"/>
    <w:rsid w:val="00344B3D"/>
    <w:rsid w:val="00345945"/>
    <w:rsid w:val="00353D79"/>
    <w:rsid w:val="00355EDD"/>
    <w:rsid w:val="00365387"/>
    <w:rsid w:val="00365FDB"/>
    <w:rsid w:val="00366FAE"/>
    <w:rsid w:val="003803D9"/>
    <w:rsid w:val="0038111B"/>
    <w:rsid w:val="003860F5"/>
    <w:rsid w:val="003A2B1C"/>
    <w:rsid w:val="003A2DAA"/>
    <w:rsid w:val="003C48CD"/>
    <w:rsid w:val="003D047F"/>
    <w:rsid w:val="003E0E70"/>
    <w:rsid w:val="003E349B"/>
    <w:rsid w:val="003F025D"/>
    <w:rsid w:val="003F0E74"/>
    <w:rsid w:val="003F4094"/>
    <w:rsid w:val="004177C1"/>
    <w:rsid w:val="0042228D"/>
    <w:rsid w:val="00422617"/>
    <w:rsid w:val="00426A75"/>
    <w:rsid w:val="00445E3C"/>
    <w:rsid w:val="004478F0"/>
    <w:rsid w:val="0045001C"/>
    <w:rsid w:val="0045112C"/>
    <w:rsid w:val="00453010"/>
    <w:rsid w:val="00457214"/>
    <w:rsid w:val="00457AC3"/>
    <w:rsid w:val="00466307"/>
    <w:rsid w:val="00466A0A"/>
    <w:rsid w:val="004922D9"/>
    <w:rsid w:val="00495D95"/>
    <w:rsid w:val="004A7B84"/>
    <w:rsid w:val="004C0124"/>
    <w:rsid w:val="004C4C2E"/>
    <w:rsid w:val="004E03A3"/>
    <w:rsid w:val="004E1BC2"/>
    <w:rsid w:val="004E4A52"/>
    <w:rsid w:val="004F228C"/>
    <w:rsid w:val="004F6795"/>
    <w:rsid w:val="00504F9D"/>
    <w:rsid w:val="00507EE6"/>
    <w:rsid w:val="0051292B"/>
    <w:rsid w:val="00512EA7"/>
    <w:rsid w:val="00527795"/>
    <w:rsid w:val="005320CF"/>
    <w:rsid w:val="00535CE4"/>
    <w:rsid w:val="00543AEB"/>
    <w:rsid w:val="00546A2A"/>
    <w:rsid w:val="00552889"/>
    <w:rsid w:val="00556E82"/>
    <w:rsid w:val="00560AB2"/>
    <w:rsid w:val="00565CF7"/>
    <w:rsid w:val="00567F2C"/>
    <w:rsid w:val="00577A6D"/>
    <w:rsid w:val="00577F28"/>
    <w:rsid w:val="005804CB"/>
    <w:rsid w:val="005902CD"/>
    <w:rsid w:val="0059076B"/>
    <w:rsid w:val="005A6B8D"/>
    <w:rsid w:val="005B1C51"/>
    <w:rsid w:val="005C01FC"/>
    <w:rsid w:val="005E4981"/>
    <w:rsid w:val="005E54D7"/>
    <w:rsid w:val="005F0805"/>
    <w:rsid w:val="005F0D18"/>
    <w:rsid w:val="005F3982"/>
    <w:rsid w:val="005F643D"/>
    <w:rsid w:val="0060343E"/>
    <w:rsid w:val="00604090"/>
    <w:rsid w:val="0060466A"/>
    <w:rsid w:val="00612CA6"/>
    <w:rsid w:val="0061555D"/>
    <w:rsid w:val="006273E3"/>
    <w:rsid w:val="00633B29"/>
    <w:rsid w:val="0065660A"/>
    <w:rsid w:val="006739BF"/>
    <w:rsid w:val="00676635"/>
    <w:rsid w:val="0068045E"/>
    <w:rsid w:val="00680943"/>
    <w:rsid w:val="006915E1"/>
    <w:rsid w:val="00691921"/>
    <w:rsid w:val="006972AC"/>
    <w:rsid w:val="0069791E"/>
    <w:rsid w:val="006A1E75"/>
    <w:rsid w:val="006A2A78"/>
    <w:rsid w:val="006D353D"/>
    <w:rsid w:val="006F1731"/>
    <w:rsid w:val="006F1993"/>
    <w:rsid w:val="00717691"/>
    <w:rsid w:val="00717BF5"/>
    <w:rsid w:val="00720135"/>
    <w:rsid w:val="00720B15"/>
    <w:rsid w:val="00724267"/>
    <w:rsid w:val="00726FDB"/>
    <w:rsid w:val="0073112F"/>
    <w:rsid w:val="00753C99"/>
    <w:rsid w:val="00754645"/>
    <w:rsid w:val="00764DF7"/>
    <w:rsid w:val="00772404"/>
    <w:rsid w:val="007845EF"/>
    <w:rsid w:val="0079177B"/>
    <w:rsid w:val="007A04EB"/>
    <w:rsid w:val="007B744E"/>
    <w:rsid w:val="007B7DD5"/>
    <w:rsid w:val="007C2058"/>
    <w:rsid w:val="007D6929"/>
    <w:rsid w:val="007D7C9B"/>
    <w:rsid w:val="008035B6"/>
    <w:rsid w:val="0081544A"/>
    <w:rsid w:val="008200FD"/>
    <w:rsid w:val="00824FB6"/>
    <w:rsid w:val="00837DE8"/>
    <w:rsid w:val="0085609A"/>
    <w:rsid w:val="00877A95"/>
    <w:rsid w:val="00882E6B"/>
    <w:rsid w:val="00890249"/>
    <w:rsid w:val="0089050E"/>
    <w:rsid w:val="008B0516"/>
    <w:rsid w:val="008C21A6"/>
    <w:rsid w:val="008C6302"/>
    <w:rsid w:val="008C7E83"/>
    <w:rsid w:val="008E699D"/>
    <w:rsid w:val="008E7FD4"/>
    <w:rsid w:val="008F449D"/>
    <w:rsid w:val="0090526B"/>
    <w:rsid w:val="00912610"/>
    <w:rsid w:val="0091573E"/>
    <w:rsid w:val="009178DC"/>
    <w:rsid w:val="00917FB0"/>
    <w:rsid w:val="00921091"/>
    <w:rsid w:val="0093374B"/>
    <w:rsid w:val="009400A3"/>
    <w:rsid w:val="009472CA"/>
    <w:rsid w:val="009644B7"/>
    <w:rsid w:val="00966329"/>
    <w:rsid w:val="00974F5F"/>
    <w:rsid w:val="00981704"/>
    <w:rsid w:val="009A28C7"/>
    <w:rsid w:val="009A515D"/>
    <w:rsid w:val="009B2D9E"/>
    <w:rsid w:val="009B43F0"/>
    <w:rsid w:val="009B65A4"/>
    <w:rsid w:val="009E60E9"/>
    <w:rsid w:val="00A07727"/>
    <w:rsid w:val="00A110C4"/>
    <w:rsid w:val="00A12A6E"/>
    <w:rsid w:val="00A13409"/>
    <w:rsid w:val="00A14CA7"/>
    <w:rsid w:val="00A23E00"/>
    <w:rsid w:val="00A45BAA"/>
    <w:rsid w:val="00A50281"/>
    <w:rsid w:val="00A634CC"/>
    <w:rsid w:val="00A753D8"/>
    <w:rsid w:val="00A84C34"/>
    <w:rsid w:val="00A93720"/>
    <w:rsid w:val="00A9675C"/>
    <w:rsid w:val="00AA63BD"/>
    <w:rsid w:val="00AB7BA7"/>
    <w:rsid w:val="00AC11F4"/>
    <w:rsid w:val="00AC2022"/>
    <w:rsid w:val="00AC7770"/>
    <w:rsid w:val="00AE2452"/>
    <w:rsid w:val="00AE7E4F"/>
    <w:rsid w:val="00AF7245"/>
    <w:rsid w:val="00B02597"/>
    <w:rsid w:val="00B13230"/>
    <w:rsid w:val="00B163F3"/>
    <w:rsid w:val="00B17546"/>
    <w:rsid w:val="00B21E39"/>
    <w:rsid w:val="00B23B90"/>
    <w:rsid w:val="00B25B3C"/>
    <w:rsid w:val="00B3031F"/>
    <w:rsid w:val="00B35EE0"/>
    <w:rsid w:val="00B43731"/>
    <w:rsid w:val="00B45AD5"/>
    <w:rsid w:val="00B5261B"/>
    <w:rsid w:val="00B64866"/>
    <w:rsid w:val="00B70CBC"/>
    <w:rsid w:val="00B754B9"/>
    <w:rsid w:val="00B80085"/>
    <w:rsid w:val="00BA7920"/>
    <w:rsid w:val="00BB0485"/>
    <w:rsid w:val="00BB4F09"/>
    <w:rsid w:val="00BB750B"/>
    <w:rsid w:val="00BC4B12"/>
    <w:rsid w:val="00BE007D"/>
    <w:rsid w:val="00BE22E1"/>
    <w:rsid w:val="00BF5A67"/>
    <w:rsid w:val="00C038B3"/>
    <w:rsid w:val="00C03998"/>
    <w:rsid w:val="00C03FC5"/>
    <w:rsid w:val="00C06B3A"/>
    <w:rsid w:val="00C1102D"/>
    <w:rsid w:val="00C17941"/>
    <w:rsid w:val="00C24B01"/>
    <w:rsid w:val="00C42CB6"/>
    <w:rsid w:val="00C4324D"/>
    <w:rsid w:val="00C52630"/>
    <w:rsid w:val="00C53221"/>
    <w:rsid w:val="00C53247"/>
    <w:rsid w:val="00C55E25"/>
    <w:rsid w:val="00C679A2"/>
    <w:rsid w:val="00C81A5D"/>
    <w:rsid w:val="00C945CF"/>
    <w:rsid w:val="00CC1A5D"/>
    <w:rsid w:val="00CC3FC0"/>
    <w:rsid w:val="00CC6431"/>
    <w:rsid w:val="00CD0399"/>
    <w:rsid w:val="00CD1FD9"/>
    <w:rsid w:val="00CE1D0A"/>
    <w:rsid w:val="00CE2C5D"/>
    <w:rsid w:val="00CE4D43"/>
    <w:rsid w:val="00CE563E"/>
    <w:rsid w:val="00CF4295"/>
    <w:rsid w:val="00D03535"/>
    <w:rsid w:val="00D0375D"/>
    <w:rsid w:val="00D14B58"/>
    <w:rsid w:val="00D15596"/>
    <w:rsid w:val="00D17F8F"/>
    <w:rsid w:val="00D21A1B"/>
    <w:rsid w:val="00D22C67"/>
    <w:rsid w:val="00D250AE"/>
    <w:rsid w:val="00D27570"/>
    <w:rsid w:val="00D279F6"/>
    <w:rsid w:val="00D32340"/>
    <w:rsid w:val="00D46552"/>
    <w:rsid w:val="00D501E3"/>
    <w:rsid w:val="00D502D9"/>
    <w:rsid w:val="00D61DE2"/>
    <w:rsid w:val="00D737E5"/>
    <w:rsid w:val="00D856A2"/>
    <w:rsid w:val="00DB3C2F"/>
    <w:rsid w:val="00DC13B5"/>
    <w:rsid w:val="00DC341C"/>
    <w:rsid w:val="00DD002D"/>
    <w:rsid w:val="00DD6589"/>
    <w:rsid w:val="00E01D3B"/>
    <w:rsid w:val="00E24D7C"/>
    <w:rsid w:val="00E25405"/>
    <w:rsid w:val="00E25BDA"/>
    <w:rsid w:val="00E34C2C"/>
    <w:rsid w:val="00E51F5E"/>
    <w:rsid w:val="00E56DC2"/>
    <w:rsid w:val="00E71695"/>
    <w:rsid w:val="00E71CF4"/>
    <w:rsid w:val="00E8318F"/>
    <w:rsid w:val="00E919EA"/>
    <w:rsid w:val="00E91E80"/>
    <w:rsid w:val="00E95192"/>
    <w:rsid w:val="00E97BB6"/>
    <w:rsid w:val="00EA5668"/>
    <w:rsid w:val="00EA73D2"/>
    <w:rsid w:val="00EB10FD"/>
    <w:rsid w:val="00EB2F45"/>
    <w:rsid w:val="00EC1DBD"/>
    <w:rsid w:val="00EC29C3"/>
    <w:rsid w:val="00ED3109"/>
    <w:rsid w:val="00ED590C"/>
    <w:rsid w:val="00EE32F7"/>
    <w:rsid w:val="00EE3B59"/>
    <w:rsid w:val="00EE48A6"/>
    <w:rsid w:val="00F17736"/>
    <w:rsid w:val="00F20948"/>
    <w:rsid w:val="00F20C34"/>
    <w:rsid w:val="00F23D80"/>
    <w:rsid w:val="00F46326"/>
    <w:rsid w:val="00F578EF"/>
    <w:rsid w:val="00F64E7D"/>
    <w:rsid w:val="00F712A8"/>
    <w:rsid w:val="00F7694B"/>
    <w:rsid w:val="00F80C9E"/>
    <w:rsid w:val="00F90B14"/>
    <w:rsid w:val="00F92B38"/>
    <w:rsid w:val="00FA31C5"/>
    <w:rsid w:val="00FB05A8"/>
    <w:rsid w:val="00FB666F"/>
    <w:rsid w:val="00FD05EB"/>
    <w:rsid w:val="00FD5053"/>
    <w:rsid w:val="00FD6407"/>
    <w:rsid w:val="00FF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CB831E"/>
  <w15:chartTrackingRefBased/>
  <w15:docId w15:val="{F919E2B3-ACBE-4522-A11C-B85B32DF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44B"/>
    <w:pPr>
      <w:spacing w:before="160" w:line="252" w:lineRule="auto"/>
      <w:jc w:val="both"/>
    </w:pPr>
    <w:rPr>
      <w:rFonts w:ascii="AkzidenzGrotesk" w:hAnsi="AkzidenzGrotesk"/>
      <w:sz w:val="25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71CF4"/>
    <w:pPr>
      <w:keepNext/>
      <w:keepLines/>
      <w:pBdr>
        <w:bottom w:val="single" w:sz="12" w:space="1" w:color="A50021"/>
      </w:pBdr>
      <w:spacing w:before="100" w:beforeAutospacing="1"/>
      <w:jc w:val="center"/>
      <w:outlineLvl w:val="0"/>
    </w:pPr>
    <w:rPr>
      <w:rFonts w:eastAsiaTheme="majorEastAsia" w:cstheme="minorHAnsi"/>
      <w:b/>
      <w:bCs/>
      <w:color w:val="A5002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71CF4"/>
    <w:pPr>
      <w:keepNext/>
      <w:keepLines/>
      <w:pBdr>
        <w:bottom w:val="single" w:sz="6" w:space="1" w:color="990033"/>
      </w:pBdr>
      <w:spacing w:before="200"/>
      <w:outlineLvl w:val="1"/>
    </w:pPr>
    <w:rPr>
      <w:rFonts w:eastAsiaTheme="majorEastAsia" w:cstheme="minorHAnsi"/>
      <w:b/>
      <w:bCs/>
      <w:color w:val="990033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CF4"/>
    <w:rPr>
      <w:rFonts w:eastAsiaTheme="majorEastAsia" w:cstheme="minorHAnsi"/>
      <w:b/>
      <w:bCs/>
      <w:color w:val="A50021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E71CF4"/>
    <w:rPr>
      <w:rFonts w:eastAsiaTheme="majorEastAsia" w:cstheme="minorHAnsi"/>
      <w:b/>
      <w:bCs/>
      <w:color w:val="990033"/>
      <w:sz w:val="28"/>
      <w:szCs w:val="28"/>
      <w:lang w:val="es-ES"/>
    </w:rPr>
  </w:style>
  <w:style w:type="paragraph" w:styleId="Prrafodelista">
    <w:name w:val="List Paragraph"/>
    <w:basedOn w:val="Normal"/>
    <w:uiPriority w:val="34"/>
    <w:qFormat/>
    <w:rsid w:val="00726FD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7D29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D29"/>
    <w:rPr>
      <w:sz w:val="24"/>
      <w:szCs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37D29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D29"/>
    <w:rPr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451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67F2C"/>
    <w:pPr>
      <w:spacing w:after="0" w:line="240" w:lineRule="auto"/>
      <w:jc w:val="both"/>
    </w:pPr>
    <w:rPr>
      <w:rFonts w:ascii="AkzidenzGrotesk" w:hAnsi="AkzidenzGrotesk"/>
      <w:sz w:val="25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213946"/>
    <w:rPr>
      <w:color w:val="0563C1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213946"/>
    <w:pPr>
      <w:tabs>
        <w:tab w:val="right" w:leader="dot" w:pos="9627"/>
      </w:tabs>
      <w:spacing w:before="0" w:after="100" w:line="240" w:lineRule="auto"/>
      <w:ind w:right="-4"/>
      <w:jc w:val="left"/>
    </w:pPr>
    <w:rPr>
      <w:rFonts w:ascii="Arial" w:hAnsi="Arial"/>
      <w:b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213946"/>
    <w:pPr>
      <w:spacing w:before="0" w:after="100" w:line="240" w:lineRule="auto"/>
      <w:ind w:right="-94"/>
      <w:jc w:val="left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RobertoSR\Trabajos\Varios\Plantilla%20LRSR%202024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E678A-FBD6-436C-B453-29CAAA49D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LRSR 2024</Template>
  <TotalTime>369</TotalTime>
  <Pages>8</Pages>
  <Words>956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Roberto Solis Ruiz</dc:creator>
  <cp:keywords/>
  <dc:description/>
  <cp:lastModifiedBy>Edgar Zapata Garrido</cp:lastModifiedBy>
  <cp:revision>79</cp:revision>
  <cp:lastPrinted>2025-07-02T20:08:00Z</cp:lastPrinted>
  <dcterms:created xsi:type="dcterms:W3CDTF">2025-07-02T16:12:00Z</dcterms:created>
  <dcterms:modified xsi:type="dcterms:W3CDTF">2025-09-02T16:34:00Z</dcterms:modified>
</cp:coreProperties>
</file>