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B9183" w14:textId="77777777" w:rsidR="00B10E7E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0D4E7A64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16B9FC69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781516D1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5C19457D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508BA619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186FF72F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1A6A8158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02F0DA73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6CF91A35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2B6F5872" w14:textId="77777777" w:rsidR="00FD58B2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69A0DB43" w14:textId="77777777" w:rsidR="00FD58B2" w:rsidRPr="00F862B1" w:rsidRDefault="00FD58B2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58125FCB" w14:textId="77777777" w:rsidR="00CE2819" w:rsidRPr="002E7A04" w:rsidRDefault="00CE2819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53F1C5A9" w14:textId="77777777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D38D934" w14:textId="6DD30DAC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>
        <w:rPr>
          <w:rFonts w:ascii="AkzidenzGrotesk" w:hAnsi="AkzidenzGrotesk" w:cs="Arial"/>
          <w:bCs/>
          <w:sz w:val="24"/>
          <w:szCs w:val="24"/>
        </w:rPr>
        <w:t xml:space="preserve">AL </w:t>
      </w:r>
      <w:r w:rsidR="005771CF">
        <w:rPr>
          <w:rFonts w:ascii="AkzidenzGrotesk" w:hAnsi="AkzidenzGrotesk" w:cs="Arial"/>
          <w:bCs/>
          <w:sz w:val="24"/>
          <w:szCs w:val="24"/>
        </w:rPr>
        <w:t>3</w:t>
      </w:r>
      <w:r w:rsidR="004C101F">
        <w:rPr>
          <w:rFonts w:ascii="AkzidenzGrotesk" w:hAnsi="AkzidenzGrotesk" w:cs="Arial"/>
          <w:bCs/>
          <w:sz w:val="24"/>
          <w:szCs w:val="24"/>
        </w:rPr>
        <w:t>0</w:t>
      </w:r>
      <w:r>
        <w:rPr>
          <w:rFonts w:ascii="AkzidenzGrotesk" w:hAnsi="AkzidenzGrotesk" w:cs="Arial"/>
          <w:bCs/>
          <w:sz w:val="24"/>
          <w:szCs w:val="24"/>
        </w:rPr>
        <w:t xml:space="preserve">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 w:rsidR="004C101F">
        <w:rPr>
          <w:rFonts w:ascii="AkzidenzGrotesk" w:hAnsi="AkzidenzGrotesk" w:cs="Arial"/>
          <w:bCs/>
          <w:sz w:val="24"/>
          <w:szCs w:val="24"/>
        </w:rPr>
        <w:t>JUNIO</w:t>
      </w:r>
      <w:r w:rsidR="0080558A">
        <w:rPr>
          <w:rFonts w:ascii="AkzidenzGrotesk" w:hAnsi="AkzidenzGrotesk" w:cs="Arial"/>
          <w:bCs/>
          <w:sz w:val="24"/>
          <w:szCs w:val="24"/>
        </w:rPr>
        <w:t xml:space="preserve">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202</w:t>
      </w:r>
      <w:r>
        <w:rPr>
          <w:rFonts w:ascii="AkzidenzGrotesk" w:hAnsi="AkzidenzGrotesk" w:cs="Arial"/>
          <w:bCs/>
          <w:sz w:val="24"/>
          <w:szCs w:val="24"/>
        </w:rPr>
        <w:t>5</w:t>
      </w:r>
    </w:p>
    <w:p w14:paraId="08F1A6EA" w14:textId="77777777" w:rsidR="00CE2819" w:rsidRPr="009D2292" w:rsidRDefault="00CE2819" w:rsidP="00CE2819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9D1EC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5BB25B82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46D724D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55C6D94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8A4273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 xml:space="preserve">“Los pasivos contingentes son obligaciones que tienen su origen en hechos específicos e independientes del pasado que en el futuro pueden ocurrir o no y, de </w:t>
      </w:r>
      <w:proofErr w:type="gramStart"/>
      <w:r w:rsidRPr="009D2292">
        <w:rPr>
          <w:rFonts w:ascii="AkzidenzGrotesk" w:hAnsi="AkzidenzGrotesk" w:cs="Arial"/>
          <w:sz w:val="28"/>
          <w:szCs w:val="28"/>
        </w:rPr>
        <w:t>acuerdo</w:t>
      </w:r>
      <w:proofErr w:type="gramEnd"/>
      <w:r w:rsidRPr="009D2292">
        <w:rPr>
          <w:rFonts w:ascii="AkzidenzGrotesk" w:hAnsi="AkzidenzGrotesk" w:cs="Arial"/>
          <w:sz w:val="28"/>
          <w:szCs w:val="28"/>
        </w:rPr>
        <w:t xml:space="preserve"> con lo que acontezca, desaparecen o se convierten en pasivos reales, por ejemplo, juicios, garantías, avales, costo de planes de pensiones, jubilaciones, etc.”.</w:t>
      </w:r>
    </w:p>
    <w:p w14:paraId="7B23FE74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2EE5AFB0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C91BD0B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E0E1B2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E336315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46CE8E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bookmarkStart w:id="0" w:name="_GoBack"/>
      <w:bookmarkEnd w:id="0"/>
    </w:p>
    <w:p w14:paraId="712FE2AC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517CAE2" w14:textId="75DB50D9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 xml:space="preserve">Al </w:t>
      </w:r>
      <w:r w:rsidR="005771CF">
        <w:rPr>
          <w:rFonts w:ascii="AkzidenzGrotesk" w:hAnsi="AkzidenzGrotesk" w:cs="Arial"/>
          <w:sz w:val="28"/>
          <w:szCs w:val="28"/>
        </w:rPr>
        <w:t>3</w:t>
      </w:r>
      <w:r w:rsidR="004C101F">
        <w:rPr>
          <w:rFonts w:ascii="AkzidenzGrotesk" w:hAnsi="AkzidenzGrotesk" w:cs="Arial"/>
          <w:sz w:val="28"/>
          <w:szCs w:val="28"/>
        </w:rPr>
        <w:t>0</w:t>
      </w:r>
      <w:r>
        <w:rPr>
          <w:rFonts w:ascii="AkzidenzGrotesk" w:hAnsi="AkzidenzGrotesk" w:cs="Arial"/>
          <w:sz w:val="28"/>
          <w:szCs w:val="28"/>
        </w:rPr>
        <w:t xml:space="preserve"> de </w:t>
      </w:r>
      <w:r w:rsidR="004C101F">
        <w:rPr>
          <w:rFonts w:ascii="AkzidenzGrotesk" w:hAnsi="AkzidenzGrotesk" w:cs="Arial"/>
          <w:sz w:val="28"/>
          <w:szCs w:val="28"/>
        </w:rPr>
        <w:t>junio</w:t>
      </w:r>
      <w:r w:rsidR="0080558A">
        <w:rPr>
          <w:rFonts w:ascii="AkzidenzGrotesk" w:hAnsi="AkzidenzGrotesk" w:cs="Arial"/>
          <w:sz w:val="28"/>
          <w:szCs w:val="28"/>
        </w:rPr>
        <w:t xml:space="preserve"> de</w:t>
      </w:r>
      <w:r>
        <w:rPr>
          <w:rFonts w:ascii="AkzidenzGrotesk" w:hAnsi="AkzidenzGrotesk" w:cs="Arial"/>
          <w:sz w:val="28"/>
          <w:szCs w:val="28"/>
        </w:rPr>
        <w:t xml:space="preserve"> 2025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0CCF173F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7FBB88E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87EF40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964BE16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DD0A0A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4066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E2819" w:rsidRPr="009D2292" w14:paraId="494C5F40" w14:textId="77777777" w:rsidTr="00FD58B2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62D6F660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BB6AB6C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59DB3350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CE2819" w:rsidRPr="009D2292" w14:paraId="0DB6A666" w14:textId="77777777" w:rsidTr="00FD58B2">
        <w:trPr>
          <w:trHeight w:val="758"/>
        </w:trPr>
        <w:tc>
          <w:tcPr>
            <w:tcW w:w="2992" w:type="dxa"/>
          </w:tcPr>
          <w:p w14:paraId="11EEF644" w14:textId="77777777" w:rsidR="00CE2819" w:rsidRPr="009D2292" w:rsidRDefault="00CE2819" w:rsidP="00FD58B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76A4448" w14:textId="77777777" w:rsidR="00CE2819" w:rsidRPr="009D2292" w:rsidRDefault="00CE2819" w:rsidP="00FD58B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2CA2CC3" w14:textId="77777777" w:rsidR="00CE2819" w:rsidRPr="009D2292" w:rsidRDefault="00CE2819" w:rsidP="00FD58B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01240DEF" w14:textId="77777777" w:rsidR="00CE2819" w:rsidRPr="009D2292" w:rsidRDefault="00CE2819" w:rsidP="00FD58B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5F373C2D" w14:textId="77777777" w:rsidR="00CE2819" w:rsidRPr="009D2292" w:rsidRDefault="00CE2819" w:rsidP="00FD58B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650C6695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7C85E70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CDBAF46" w14:textId="3550BA3F" w:rsidR="00CE2819" w:rsidRDefault="00CE2819" w:rsidP="00FD58B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</w:t>
            </w:r>
            <w:r w:rsidR="0002579E">
              <w:rPr>
                <w:rFonts w:ascii="AkzidenzGrotesk" w:hAnsi="AkzidenzGrotesk" w:cs="Arial"/>
                <w:sz w:val="28"/>
                <w:szCs w:val="28"/>
              </w:rPr>
              <w:t>9</w:t>
            </w:r>
          </w:p>
          <w:p w14:paraId="22E0004D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067844B8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EF109E7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015D290" w14:textId="7C889BA1" w:rsidR="00CE2819" w:rsidRPr="009D2292" w:rsidRDefault="0002579E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20</w:t>
            </w:r>
            <w:r w:rsidR="004C101F">
              <w:rPr>
                <w:rFonts w:ascii="AkzidenzGrotesk" w:hAnsi="AkzidenzGrotesk" w:cs="Arial"/>
                <w:sz w:val="28"/>
                <w:szCs w:val="28"/>
              </w:rPr>
              <w:t>4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4C101F">
              <w:rPr>
                <w:rFonts w:ascii="AkzidenzGrotesk" w:hAnsi="AkzidenzGrotesk" w:cs="Arial"/>
                <w:sz w:val="28"/>
                <w:szCs w:val="28"/>
              </w:rPr>
              <w:t>006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4C101F">
              <w:rPr>
                <w:rFonts w:ascii="AkzidenzGrotesk" w:hAnsi="AkzidenzGrotesk" w:cs="Arial"/>
                <w:sz w:val="28"/>
                <w:szCs w:val="28"/>
              </w:rPr>
              <w:t>654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4C101F">
              <w:rPr>
                <w:rFonts w:ascii="AkzidenzGrotesk" w:hAnsi="AkzidenzGrotesk" w:cs="Arial"/>
                <w:sz w:val="28"/>
                <w:szCs w:val="28"/>
              </w:rPr>
              <w:t>6</w:t>
            </w:r>
            <w:r>
              <w:rPr>
                <w:rFonts w:ascii="AkzidenzGrotesk" w:hAnsi="AkzidenzGrotesk" w:cs="Arial"/>
                <w:sz w:val="28"/>
                <w:szCs w:val="28"/>
              </w:rPr>
              <w:t>9</w:t>
            </w:r>
          </w:p>
          <w:p w14:paraId="303BAA84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C095960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1F5EE636" w14:textId="77777777" w:rsidTr="00FD58B2">
        <w:trPr>
          <w:trHeight w:val="698"/>
        </w:trPr>
        <w:tc>
          <w:tcPr>
            <w:tcW w:w="2992" w:type="dxa"/>
          </w:tcPr>
          <w:p w14:paraId="331A4789" w14:textId="77777777" w:rsidR="00CE2819" w:rsidRPr="009D2292" w:rsidRDefault="00CE2819" w:rsidP="00FD58B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2371A41" w14:textId="77777777" w:rsidR="00CE2819" w:rsidRPr="009D2292" w:rsidRDefault="00CE2819" w:rsidP="00FD58B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6F6EE07" w14:textId="77777777" w:rsidR="00CE2819" w:rsidRPr="009D2292" w:rsidRDefault="00CE2819" w:rsidP="00FD58B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93" w:type="dxa"/>
          </w:tcPr>
          <w:p w14:paraId="2A166826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8A638F8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BE460A7" w14:textId="3DD0309B" w:rsidR="00CE2819" w:rsidRPr="009D2292" w:rsidRDefault="004C101F" w:rsidP="00FD58B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14:paraId="635CC959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9A53DA2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33A7C0B" w14:textId="4B85D38B" w:rsidR="00CE2819" w:rsidRPr="009D2292" w:rsidRDefault="004C5DEB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</w:t>
            </w:r>
            <w:r w:rsidR="004C101F">
              <w:rPr>
                <w:rFonts w:ascii="AkzidenzGrotesk" w:hAnsi="AkzidenzGrotesk" w:cs="Arial"/>
                <w:sz w:val="28"/>
                <w:szCs w:val="28"/>
              </w:rPr>
              <w:t>2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4C101F">
              <w:rPr>
                <w:rFonts w:ascii="AkzidenzGrotesk" w:hAnsi="AkzidenzGrotesk" w:cs="Arial"/>
                <w:sz w:val="28"/>
                <w:szCs w:val="28"/>
              </w:rPr>
              <w:t>464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4C101F">
              <w:rPr>
                <w:rFonts w:ascii="AkzidenzGrotesk" w:hAnsi="AkzidenzGrotesk" w:cs="Arial"/>
                <w:sz w:val="28"/>
                <w:szCs w:val="28"/>
              </w:rPr>
              <w:t>811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4C101F">
              <w:rPr>
                <w:rFonts w:ascii="AkzidenzGrotesk" w:hAnsi="AkzidenzGrotesk" w:cs="Arial"/>
                <w:sz w:val="28"/>
                <w:szCs w:val="28"/>
              </w:rPr>
              <w:t>63</w:t>
            </w:r>
          </w:p>
          <w:p w14:paraId="05B58625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FE7EC3F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320F280A" w14:textId="77777777" w:rsidTr="00FD58B2">
        <w:trPr>
          <w:trHeight w:val="704"/>
        </w:trPr>
        <w:tc>
          <w:tcPr>
            <w:tcW w:w="2992" w:type="dxa"/>
            <w:shd w:val="clear" w:color="auto" w:fill="D9D9D9"/>
          </w:tcPr>
          <w:p w14:paraId="16B2575F" w14:textId="77777777" w:rsidR="00CE2819" w:rsidRPr="009D2292" w:rsidRDefault="00CE2819" w:rsidP="00FD58B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2CEA25D" w14:textId="77777777" w:rsidR="00CE2819" w:rsidRPr="009D2292" w:rsidRDefault="00CE2819" w:rsidP="00FD58B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C37B53B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60308467" w14:textId="77777777" w:rsidR="00CE2819" w:rsidRPr="009D2292" w:rsidRDefault="00CE2819" w:rsidP="00FD58B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05459CE" w14:textId="77777777" w:rsidR="00CE2819" w:rsidRPr="009D2292" w:rsidRDefault="00CE2819" w:rsidP="00FD58B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F060D5F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63BF80A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5A75B4B" w14:textId="7DB2C283" w:rsidR="00CE2819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</w:t>
            </w:r>
            <w:r w:rsidR="004C101F">
              <w:rPr>
                <w:rFonts w:ascii="AkzidenzGrotesk" w:hAnsi="AkzidenzGrotesk" w:cs="Arial"/>
                <w:b/>
                <w:sz w:val="28"/>
                <w:szCs w:val="28"/>
              </w:rPr>
              <w:t>1</w:t>
            </w:r>
          </w:p>
          <w:p w14:paraId="606626E8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9EF8A3E" w14:textId="77777777" w:rsidR="00CE2819" w:rsidRPr="009D2292" w:rsidRDefault="00CE2819" w:rsidP="00FD58B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05973EF3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6569C43" w14:textId="77777777" w:rsidR="00CE2819" w:rsidRDefault="00CE2819" w:rsidP="00FD58B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3B581B9" w14:textId="69544C3D" w:rsidR="00CE2819" w:rsidRDefault="00CE2819" w:rsidP="00FD58B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  <w:r w:rsidR="0002579E">
              <w:rPr>
                <w:rFonts w:ascii="AkzidenzGrotesk" w:hAnsi="AkzidenzGrotesk" w:cs="Arial"/>
                <w:b/>
                <w:sz w:val="28"/>
                <w:szCs w:val="28"/>
              </w:rPr>
              <w:t>3</w:t>
            </w:r>
            <w:r w:rsidR="004C101F">
              <w:rPr>
                <w:rFonts w:ascii="AkzidenzGrotesk" w:hAnsi="AkzidenzGrotesk" w:cs="Arial"/>
                <w:b/>
                <w:sz w:val="28"/>
                <w:szCs w:val="28"/>
              </w:rPr>
              <w:t>6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4C101F">
              <w:rPr>
                <w:rFonts w:ascii="AkzidenzGrotesk" w:hAnsi="AkzidenzGrotesk" w:cs="Arial"/>
                <w:b/>
                <w:sz w:val="28"/>
                <w:szCs w:val="28"/>
              </w:rPr>
              <w:t>471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4C101F">
              <w:rPr>
                <w:rFonts w:ascii="AkzidenzGrotesk" w:hAnsi="AkzidenzGrotesk" w:cs="Arial"/>
                <w:b/>
                <w:sz w:val="28"/>
                <w:szCs w:val="28"/>
              </w:rPr>
              <w:t>466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4C101F">
              <w:rPr>
                <w:rFonts w:ascii="AkzidenzGrotesk" w:hAnsi="AkzidenzGrotesk" w:cs="Arial"/>
                <w:b/>
                <w:sz w:val="28"/>
                <w:szCs w:val="28"/>
              </w:rPr>
              <w:t>32</w:t>
            </w:r>
          </w:p>
          <w:p w14:paraId="353E3F58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010E218" w14:textId="77777777" w:rsidR="00CE2819" w:rsidRPr="009D2292" w:rsidRDefault="00CE2819" w:rsidP="00FD58B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BE855E" w14:textId="77777777" w:rsidR="00CE2819" w:rsidRPr="009D2292" w:rsidRDefault="00CE2819" w:rsidP="00FD58B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A7FC6A7" w14:textId="77777777" w:rsidR="00CE2819" w:rsidRPr="00C112D2" w:rsidRDefault="00CE2819" w:rsidP="00CE28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62F49EED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D81D505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8D6025F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2525E362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990FD85" w14:textId="77777777" w:rsidR="00CE2819" w:rsidRPr="00726ED2" w:rsidRDefault="00CE2819" w:rsidP="00CE2819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A5AA5C5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529630DC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411E8D7E" w14:textId="136E038A" w:rsidR="00D6166E" w:rsidRPr="00BD59BA" w:rsidRDefault="00D6166E" w:rsidP="00AB6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kzidenz-Grotesk BQ Light" w:eastAsia="AkzidenzGrotesk" w:hAnsi="Akzidenz-Grotesk BQ Light" w:cs="AkzidenzGrotesk"/>
          <w:color w:val="000000"/>
          <w:sz w:val="14"/>
          <w:szCs w:val="14"/>
        </w:rPr>
      </w:pPr>
    </w:p>
    <w:sectPr w:rsidR="00D6166E" w:rsidRPr="00BD59BA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92FFB" w14:textId="77777777" w:rsidR="00693C3A" w:rsidRDefault="00693C3A">
      <w:pPr>
        <w:spacing w:after="0" w:line="240" w:lineRule="auto"/>
      </w:pPr>
      <w:r>
        <w:separator/>
      </w:r>
    </w:p>
  </w:endnote>
  <w:endnote w:type="continuationSeparator" w:id="0">
    <w:p w14:paraId="0ABC3B56" w14:textId="77777777" w:rsidR="00693C3A" w:rsidRDefault="0069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panose1 w:val="02000506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4210A" w14:textId="77777777" w:rsidR="00693C3A" w:rsidRDefault="00693C3A">
      <w:pPr>
        <w:spacing w:after="0" w:line="240" w:lineRule="auto"/>
      </w:pPr>
      <w:r>
        <w:separator/>
      </w:r>
    </w:p>
  </w:footnote>
  <w:footnote w:type="continuationSeparator" w:id="0">
    <w:p w14:paraId="3B290B59" w14:textId="77777777" w:rsidR="00693C3A" w:rsidRDefault="0069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6ADDDD3" w:rsidR="003466A9" w:rsidRPr="0044666F" w:rsidRDefault="00320B37" w:rsidP="0044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b/>
        <w:bCs/>
        <w:i/>
        <w:color w:val="767171"/>
      </w:rPr>
    </w:pPr>
    <w:r w:rsidRPr="006F6EF6">
      <w:rPr>
        <w:b/>
        <w:bCs/>
        <w:noProof/>
        <w:sz w:val="20"/>
        <w:szCs w:val="20"/>
        <w:lang w:val="en-US" w:eastAsia="en-US"/>
      </w:rPr>
      <w:drawing>
        <wp:anchor distT="0" distB="0" distL="0" distR="0" simplePos="0" relativeHeight="251662336" behindDoc="1" locked="0" layoutInCell="1" hidden="0" allowOverlap="1" wp14:anchorId="42594150" wp14:editId="2D06F9F1">
          <wp:simplePos x="0" y="0"/>
          <wp:positionH relativeFrom="page">
            <wp:posOffset>9525</wp:posOffset>
          </wp:positionH>
          <wp:positionV relativeFrom="paragraph">
            <wp:posOffset>3687445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3F3F" w:rsidRPr="0044666F">
      <w:rPr>
        <w:b/>
        <w:bCs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0122214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F3F" w:rsidRPr="0044666F">
      <w:rPr>
        <w:rFonts w:ascii="AkzidenzGrotesk" w:eastAsia="AkzidenzGrotesk" w:hAnsi="AkzidenzGrotesk" w:cs="AkzidenzGrotesk"/>
        <w:b/>
        <w:bCs/>
        <w:i/>
        <w:noProof/>
        <w:color w:val="767171"/>
        <w:sz w:val="24"/>
        <w:szCs w:val="24"/>
        <w:lang w:val="en-US" w:eastAsia="en-US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14258894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“202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5</w:t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 xml:space="preserve">: 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Año de la Mujer Indígena</w:t>
    </w:r>
    <w:r w:rsidR="007F47F5" w:rsidRPr="006F6EF6">
      <w:rPr>
        <w:rFonts w:ascii="AkzidenzGrotesk" w:eastAsia="AkzidenzGrotesk" w:hAnsi="AkzidenzGrotesk" w:cs="AkzidenzGrotesk"/>
        <w:b/>
        <w:bCs/>
        <w:i/>
        <w:color w:val="767171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A9"/>
    <w:rsid w:val="00002F75"/>
    <w:rsid w:val="00004CEA"/>
    <w:rsid w:val="00013C39"/>
    <w:rsid w:val="00016344"/>
    <w:rsid w:val="00022484"/>
    <w:rsid w:val="00022828"/>
    <w:rsid w:val="00024C76"/>
    <w:rsid w:val="000254EF"/>
    <w:rsid w:val="0002579E"/>
    <w:rsid w:val="00035E73"/>
    <w:rsid w:val="00047719"/>
    <w:rsid w:val="000505E8"/>
    <w:rsid w:val="0005468F"/>
    <w:rsid w:val="00073CDD"/>
    <w:rsid w:val="00094F68"/>
    <w:rsid w:val="00095E90"/>
    <w:rsid w:val="000B694A"/>
    <w:rsid w:val="000B71C8"/>
    <w:rsid w:val="000C1EA1"/>
    <w:rsid w:val="000C53FC"/>
    <w:rsid w:val="000C6483"/>
    <w:rsid w:val="000E2B80"/>
    <w:rsid w:val="000F7E00"/>
    <w:rsid w:val="001020DA"/>
    <w:rsid w:val="00107CAE"/>
    <w:rsid w:val="00111E08"/>
    <w:rsid w:val="00115A9D"/>
    <w:rsid w:val="00116039"/>
    <w:rsid w:val="00116C6F"/>
    <w:rsid w:val="001231FB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96B78"/>
    <w:rsid w:val="001A73BB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41D66"/>
    <w:rsid w:val="00241EDE"/>
    <w:rsid w:val="00246B0A"/>
    <w:rsid w:val="00254AFB"/>
    <w:rsid w:val="00255042"/>
    <w:rsid w:val="00274601"/>
    <w:rsid w:val="00291F20"/>
    <w:rsid w:val="00294368"/>
    <w:rsid w:val="002B3E30"/>
    <w:rsid w:val="002C7909"/>
    <w:rsid w:val="002D251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20B37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76C1C"/>
    <w:rsid w:val="00380F2B"/>
    <w:rsid w:val="003857D9"/>
    <w:rsid w:val="003A12BC"/>
    <w:rsid w:val="003A137D"/>
    <w:rsid w:val="003A7295"/>
    <w:rsid w:val="003B6B56"/>
    <w:rsid w:val="003C1C3A"/>
    <w:rsid w:val="003C2DA8"/>
    <w:rsid w:val="003C40A6"/>
    <w:rsid w:val="003C5016"/>
    <w:rsid w:val="003C6570"/>
    <w:rsid w:val="003D1703"/>
    <w:rsid w:val="003D31A4"/>
    <w:rsid w:val="003D6777"/>
    <w:rsid w:val="003E1755"/>
    <w:rsid w:val="003E713F"/>
    <w:rsid w:val="003E7BF1"/>
    <w:rsid w:val="003F0F01"/>
    <w:rsid w:val="003F16EA"/>
    <w:rsid w:val="003F3135"/>
    <w:rsid w:val="003F4488"/>
    <w:rsid w:val="003F72E6"/>
    <w:rsid w:val="00400AD7"/>
    <w:rsid w:val="004018CA"/>
    <w:rsid w:val="00404B8D"/>
    <w:rsid w:val="00406AB5"/>
    <w:rsid w:val="0041241E"/>
    <w:rsid w:val="00412C04"/>
    <w:rsid w:val="004225F7"/>
    <w:rsid w:val="0042466D"/>
    <w:rsid w:val="00433574"/>
    <w:rsid w:val="0043486D"/>
    <w:rsid w:val="00443957"/>
    <w:rsid w:val="0044666F"/>
    <w:rsid w:val="0045448E"/>
    <w:rsid w:val="00457FD3"/>
    <w:rsid w:val="00476C3D"/>
    <w:rsid w:val="00481A4E"/>
    <w:rsid w:val="004965BF"/>
    <w:rsid w:val="004A45D3"/>
    <w:rsid w:val="004A62CB"/>
    <w:rsid w:val="004B1D16"/>
    <w:rsid w:val="004C101F"/>
    <w:rsid w:val="004C1B56"/>
    <w:rsid w:val="004C5DEB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40EC2"/>
    <w:rsid w:val="005555D3"/>
    <w:rsid w:val="00560FCF"/>
    <w:rsid w:val="0057075C"/>
    <w:rsid w:val="00571389"/>
    <w:rsid w:val="005767EE"/>
    <w:rsid w:val="005771CF"/>
    <w:rsid w:val="00592E69"/>
    <w:rsid w:val="0059471D"/>
    <w:rsid w:val="005A0EA4"/>
    <w:rsid w:val="005B4981"/>
    <w:rsid w:val="005B7591"/>
    <w:rsid w:val="005C0006"/>
    <w:rsid w:val="005C06FE"/>
    <w:rsid w:val="005D0DCF"/>
    <w:rsid w:val="005D7726"/>
    <w:rsid w:val="005E11FC"/>
    <w:rsid w:val="005E6DD2"/>
    <w:rsid w:val="005E717C"/>
    <w:rsid w:val="005F366C"/>
    <w:rsid w:val="0060289E"/>
    <w:rsid w:val="00604150"/>
    <w:rsid w:val="00604CED"/>
    <w:rsid w:val="00605AD2"/>
    <w:rsid w:val="006105BA"/>
    <w:rsid w:val="006167E5"/>
    <w:rsid w:val="00634CEC"/>
    <w:rsid w:val="0063641B"/>
    <w:rsid w:val="00643BC8"/>
    <w:rsid w:val="00653781"/>
    <w:rsid w:val="00657ABD"/>
    <w:rsid w:val="00660DD1"/>
    <w:rsid w:val="006616EE"/>
    <w:rsid w:val="00663E3C"/>
    <w:rsid w:val="00671F11"/>
    <w:rsid w:val="00672014"/>
    <w:rsid w:val="006778BA"/>
    <w:rsid w:val="00683050"/>
    <w:rsid w:val="00691EAC"/>
    <w:rsid w:val="00693C3A"/>
    <w:rsid w:val="0069736C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37FFD"/>
    <w:rsid w:val="00754027"/>
    <w:rsid w:val="0075450F"/>
    <w:rsid w:val="007651B9"/>
    <w:rsid w:val="007736AA"/>
    <w:rsid w:val="00783E23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558A"/>
    <w:rsid w:val="008067B5"/>
    <w:rsid w:val="0081511E"/>
    <w:rsid w:val="00815FB0"/>
    <w:rsid w:val="00817ABA"/>
    <w:rsid w:val="008215D3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3345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4785"/>
    <w:rsid w:val="00947EED"/>
    <w:rsid w:val="0096631F"/>
    <w:rsid w:val="00966FA3"/>
    <w:rsid w:val="00974B29"/>
    <w:rsid w:val="00980B3C"/>
    <w:rsid w:val="00981C63"/>
    <w:rsid w:val="00982690"/>
    <w:rsid w:val="009840CE"/>
    <w:rsid w:val="00993734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054CB"/>
    <w:rsid w:val="00A30B96"/>
    <w:rsid w:val="00A33353"/>
    <w:rsid w:val="00A5000F"/>
    <w:rsid w:val="00A54290"/>
    <w:rsid w:val="00A6228A"/>
    <w:rsid w:val="00A63427"/>
    <w:rsid w:val="00A63832"/>
    <w:rsid w:val="00A66431"/>
    <w:rsid w:val="00A674DD"/>
    <w:rsid w:val="00A67E2D"/>
    <w:rsid w:val="00A740F6"/>
    <w:rsid w:val="00A810A3"/>
    <w:rsid w:val="00A82EC5"/>
    <w:rsid w:val="00A85669"/>
    <w:rsid w:val="00A9686B"/>
    <w:rsid w:val="00AA0E68"/>
    <w:rsid w:val="00AB2A31"/>
    <w:rsid w:val="00AB5F78"/>
    <w:rsid w:val="00AB609D"/>
    <w:rsid w:val="00AD3754"/>
    <w:rsid w:val="00AD3FE6"/>
    <w:rsid w:val="00AE7DDE"/>
    <w:rsid w:val="00AF324E"/>
    <w:rsid w:val="00B109F6"/>
    <w:rsid w:val="00B10E7E"/>
    <w:rsid w:val="00B1190C"/>
    <w:rsid w:val="00B133D5"/>
    <w:rsid w:val="00B21F48"/>
    <w:rsid w:val="00B2677C"/>
    <w:rsid w:val="00B4331E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2379"/>
    <w:rsid w:val="00BB6CDF"/>
    <w:rsid w:val="00BC2487"/>
    <w:rsid w:val="00BD59BA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B5997"/>
    <w:rsid w:val="00CD31B2"/>
    <w:rsid w:val="00CD52C3"/>
    <w:rsid w:val="00CD6FC6"/>
    <w:rsid w:val="00CE0462"/>
    <w:rsid w:val="00CE05ED"/>
    <w:rsid w:val="00CE2819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0758"/>
    <w:rsid w:val="00D93445"/>
    <w:rsid w:val="00D93D0C"/>
    <w:rsid w:val="00DA60AA"/>
    <w:rsid w:val="00DB2D64"/>
    <w:rsid w:val="00DB5AAB"/>
    <w:rsid w:val="00DB64AB"/>
    <w:rsid w:val="00DB7C1C"/>
    <w:rsid w:val="00DC7F9E"/>
    <w:rsid w:val="00DD5D09"/>
    <w:rsid w:val="00DD5FDF"/>
    <w:rsid w:val="00DD766B"/>
    <w:rsid w:val="00DE15C7"/>
    <w:rsid w:val="00DE4165"/>
    <w:rsid w:val="00DE6CCB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520D7"/>
    <w:rsid w:val="00E52D2F"/>
    <w:rsid w:val="00E6208F"/>
    <w:rsid w:val="00E64B68"/>
    <w:rsid w:val="00E71F13"/>
    <w:rsid w:val="00E74065"/>
    <w:rsid w:val="00EA0ACC"/>
    <w:rsid w:val="00EA54EA"/>
    <w:rsid w:val="00EA7957"/>
    <w:rsid w:val="00EB2A8E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D58B2"/>
    <w:rsid w:val="00FE2504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3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Lucila Filomena Cruz</cp:lastModifiedBy>
  <cp:revision>21</cp:revision>
  <cp:lastPrinted>2025-06-06T00:18:00Z</cp:lastPrinted>
  <dcterms:created xsi:type="dcterms:W3CDTF">2025-01-03T16:33:00Z</dcterms:created>
  <dcterms:modified xsi:type="dcterms:W3CDTF">2025-07-09T18:27:00Z</dcterms:modified>
</cp:coreProperties>
</file>