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58" w:rsidRDefault="00BE03D4" w:rsidP="00BE03D4">
      <w:pPr>
        <w:spacing w:after="0" w:line="259" w:lineRule="auto"/>
        <w:ind w:left="1493" w:right="0" w:firstLine="0"/>
        <w:jc w:val="left"/>
      </w:pPr>
      <w:r>
        <w:t xml:space="preserve"> </w:t>
      </w:r>
      <w:r>
        <w:rPr>
          <w:b/>
          <w:sz w:val="26"/>
        </w:rPr>
        <w:t>REGLAMENTO DE LA ADMINISTRACIÓN PÚBLICA DEL MUNICIPIO DE</w:t>
      </w:r>
      <w:r>
        <w:rPr>
          <w:sz w:val="26"/>
        </w:rPr>
        <w:t xml:space="preserve"> </w:t>
      </w:r>
      <w:r>
        <w:rPr>
          <w:b/>
          <w:sz w:val="26"/>
        </w:rPr>
        <w:t>CENTRO, TABASCO, PUBLICADO EN EL SUPLEMENTO B DEL PERIÓDICO OFICIAL 7614, EL 26 DE AGOSTO DE 2015.</w:t>
      </w:r>
      <w:r>
        <w:rPr>
          <w:sz w:val="26"/>
        </w:rPr>
        <w:t xml:space="preserve"> </w:t>
      </w:r>
      <w:r>
        <w:t xml:space="preserve"> </w:t>
      </w:r>
    </w:p>
    <w:p w:rsidR="00F22B58" w:rsidRDefault="00BE03D4" w:rsidP="00BE03D4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  <w:r>
        <w:t xml:space="preserve"> </w:t>
      </w:r>
      <w:r>
        <w:rPr>
          <w:b/>
          <w:sz w:val="21"/>
        </w:rPr>
        <w:t xml:space="preserve"> </w:t>
      </w:r>
      <w:r>
        <w:t xml:space="preserve"> </w:t>
      </w:r>
    </w:p>
    <w:p w:rsidR="00F22B58" w:rsidRDefault="00BE03D4">
      <w:pPr>
        <w:pStyle w:val="Ttulo1"/>
      </w:pPr>
      <w:r>
        <w:t>ATRIBUCIONES</w:t>
      </w:r>
      <w:r>
        <w:rPr>
          <w:b w:val="0"/>
          <w:color w:val="000000"/>
        </w:rPr>
        <w:t xml:space="preserve"> </w:t>
      </w:r>
      <w:r>
        <w:t xml:space="preserve"> </w:t>
      </w:r>
    </w:p>
    <w:p w:rsidR="00F22B58" w:rsidRDefault="00BE03D4" w:rsidP="00BE03D4">
      <w:pPr>
        <w:tabs>
          <w:tab w:val="center" w:pos="5543"/>
          <w:tab w:val="left" w:pos="6153"/>
        </w:tabs>
        <w:spacing w:after="3"/>
        <w:ind w:left="1183" w:right="1465"/>
        <w:jc w:val="left"/>
      </w:pPr>
      <w:r>
        <w:rPr>
          <w:b/>
          <w:sz w:val="26"/>
        </w:rP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8"/>
        </w:rPr>
        <w:t xml:space="preserve"> </w:t>
      </w:r>
      <w:r>
        <w:t xml:space="preserve"> </w:t>
      </w:r>
    </w:p>
    <w:p w:rsidR="00F22B58" w:rsidRDefault="00BE03D4">
      <w:pPr>
        <w:spacing w:after="0" w:line="259" w:lineRule="auto"/>
        <w:ind w:left="3025" w:right="0"/>
        <w:jc w:val="left"/>
      </w:pPr>
      <w:r>
        <w:rPr>
          <w:b/>
        </w:rPr>
        <w:t>CAPÍTULO XI. Dirección de Atención Ciudadana</w:t>
      </w:r>
      <w:r>
        <w:t xml:space="preserve">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22B58" w:rsidRDefault="00BE03D4">
      <w:pPr>
        <w:ind w:left="4762" w:right="1172" w:hanging="3269"/>
      </w:pPr>
      <w:r>
        <w:rPr>
          <w:b/>
        </w:rPr>
        <w:t xml:space="preserve">Artículo 206.- </w:t>
      </w:r>
      <w:r>
        <w:t xml:space="preserve">Al Director de Atención Ciudadana corresponde el despacho de los siguientes asuntos: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ind w:right="1172" w:hanging="360"/>
      </w:pPr>
      <w:r>
        <w:t>Elaborar el programa para la integración de las organizaciones de participación ciudadana y participa</w:t>
      </w:r>
      <w:r>
        <w:t xml:space="preserve">r en el proceso respectivo;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ind w:right="1172" w:hanging="360"/>
      </w:pPr>
      <w:r>
        <w:t xml:space="preserve">Diseñar y mantener actualizado el directorio de organizaciones sociales en el Municipio;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ind w:right="1172" w:hanging="360"/>
      </w:pPr>
      <w:r>
        <w:t>Elaborar y proponer al Presidente Municipal, la convocatoria para llevar a cabo los procesos de integración de las organizaciones</w:t>
      </w:r>
      <w:r>
        <w:t xml:space="preserve"> de participación ciudadana;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ind w:right="1172" w:hanging="360"/>
      </w:pPr>
      <w:r>
        <w:t xml:space="preserve">Coordinar el proceso de selección y elección de representantes de organizaciones ciudadanas;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ind w:right="1172" w:hanging="360"/>
      </w:pPr>
      <w:r>
        <w:t>Recepcionar los planteamientos y propuestas de representantes de organizaciones, relativas a su participación en la elaborac</w:t>
      </w:r>
      <w:r>
        <w:t xml:space="preserve">ión o modificación, en su caso, del Plan Municipal de Desarrollo y los programas sectoriales que de él se deriven;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ind w:right="1172" w:hanging="360"/>
      </w:pPr>
      <w:r>
        <w:lastRenderedPageBreak/>
        <w:t xml:space="preserve">Supervisar las actividades de las organizaciones de participación ciudadana y vigilar el correcto destino de los fondos que administren, e informar periódicamente al Ayuntamiento;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ind w:right="1172" w:hanging="360"/>
      </w:pPr>
      <w:r>
        <w:t>Evaluar el desempeño de los representantes de organizaciones de partici</w:t>
      </w:r>
      <w:r>
        <w:t xml:space="preserve">pación ciudadana, y turnar al Presidente Municipal las propuestas de sustitución de representantes que presenten los integrantes de las mimas;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1"/>
        </w:numPr>
        <w:spacing w:after="29"/>
        <w:ind w:right="1172" w:hanging="360"/>
      </w:pPr>
      <w:r>
        <w:t xml:space="preserve">Elaborar, proponer y ejecutar programas para atender la demanda y gestión de las organizaciones sociales; y </w:t>
      </w:r>
      <w:r>
        <w:t xml:space="preserve"> </w:t>
      </w:r>
    </w:p>
    <w:p w:rsidR="00F22B58" w:rsidRDefault="00BE03D4" w:rsidP="00BE03D4">
      <w:pPr>
        <w:tabs>
          <w:tab w:val="left" w:pos="1540"/>
          <w:tab w:val="right" w:pos="11378"/>
        </w:tabs>
        <w:spacing w:after="346" w:line="259" w:lineRule="auto"/>
        <w:ind w:left="0" w:right="0" w:firstLine="0"/>
        <w:jc w:val="left"/>
      </w:pPr>
      <w:r>
        <w:tab/>
      </w:r>
      <w:bookmarkStart w:id="0" w:name="_GoBack"/>
      <w:bookmarkEnd w:id="0"/>
    </w:p>
    <w:p w:rsidR="00F22B58" w:rsidRDefault="00BE03D4">
      <w:pPr>
        <w:pStyle w:val="Ttulo2"/>
        <w:spacing w:after="220"/>
        <w:ind w:left="374"/>
      </w:pPr>
      <w:r>
        <w:t xml:space="preserve">DIRECCIÓN CIUDADANA </w:t>
      </w:r>
    </w:p>
    <w:p w:rsidR="00F22B58" w:rsidRDefault="00BE03D4">
      <w:pPr>
        <w:spacing w:after="1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17"/>
        </w:rPr>
        <w:t xml:space="preserve"> </w:t>
      </w:r>
      <w:r>
        <w:t xml:space="preserve"> </w:t>
      </w:r>
    </w:p>
    <w:p w:rsidR="00F22B58" w:rsidRDefault="00BE03D4">
      <w:pPr>
        <w:ind w:left="2057" w:right="1172" w:hanging="360"/>
      </w:pPr>
      <w:r>
        <w:t xml:space="preserve">IX. Formular  propuestas  de  normas  internas  y  reglamentos  para  el  buen funcionamiento de las organizaciones ciudadanas.  </w:t>
      </w:r>
    </w:p>
    <w:p w:rsidR="00F22B58" w:rsidRDefault="00BE03D4">
      <w:pPr>
        <w:spacing w:after="41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F22B58" w:rsidRDefault="00BE03D4">
      <w:pPr>
        <w:ind w:left="1352" w:right="1172"/>
      </w:pPr>
      <w:r>
        <w:rPr>
          <w:b/>
        </w:rPr>
        <w:t xml:space="preserve">Artículo  207.-  </w:t>
      </w:r>
      <w:r>
        <w:t>Para  el  ejercicio  de  sus  funciones,  la  Dirección  de  Atención Ciuda</w:t>
      </w:r>
      <w:r>
        <w:t xml:space="preserve">dana, contará con la siguiente estructura orgánica: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2"/>
        </w:numPr>
        <w:ind w:right="1172" w:hanging="281"/>
      </w:pPr>
      <w:r>
        <w:t xml:space="preserve">Unidad de Enlace Administrativo.  </w:t>
      </w:r>
    </w:p>
    <w:p w:rsidR="00F22B58" w:rsidRDefault="00BE03D4">
      <w:pPr>
        <w:numPr>
          <w:ilvl w:val="0"/>
          <w:numId w:val="2"/>
        </w:numPr>
        <w:ind w:right="1172" w:hanging="281"/>
      </w:pPr>
      <w:r>
        <w:t xml:space="preserve">Subdirección de Atención y Gestión.  </w:t>
      </w:r>
    </w:p>
    <w:p w:rsidR="00F22B58" w:rsidRDefault="00BE03D4">
      <w:pPr>
        <w:numPr>
          <w:ilvl w:val="0"/>
          <w:numId w:val="2"/>
        </w:numPr>
        <w:ind w:right="1172" w:hanging="281"/>
      </w:pPr>
      <w:r>
        <w:t xml:space="preserve">Subdirección de Organización y Vinculación.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0" w:line="259" w:lineRule="auto"/>
        <w:ind w:left="27" w:right="0" w:firstLine="0"/>
        <w:jc w:val="center"/>
      </w:pPr>
      <w:r>
        <w:rPr>
          <w:b/>
        </w:rPr>
        <w:t>Sección I. Subdirección de Atención y Gestión</w:t>
      </w:r>
      <w:r>
        <w:t xml:space="preserve">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22B58" w:rsidRDefault="00BE03D4">
      <w:pPr>
        <w:ind w:left="1352" w:right="1172"/>
      </w:pPr>
      <w:r>
        <w:rPr>
          <w:b/>
        </w:rPr>
        <w:t xml:space="preserve">Artículo  208.-  </w:t>
      </w:r>
      <w:r>
        <w:t xml:space="preserve">El  Subdirector  de  Atención  y  Gestión,  tendrá  las  siguientes facultades y obligaciones: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2"/>
        </w:numPr>
        <w:ind w:right="1172" w:hanging="720"/>
      </w:pPr>
      <w:r>
        <w:t xml:space="preserve">Coadyuvar con el Director en la recepción de la demanda ciudadana y darle el trámite correspondiente;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2"/>
        </w:numPr>
        <w:ind w:right="1172" w:hanging="720"/>
      </w:pPr>
      <w:r>
        <w:t xml:space="preserve">Dar cumplimiento oportuno a la entrega de apoyos </w:t>
      </w:r>
      <w:r>
        <w:t xml:space="preserve">sociales y donativos autorizados por el Presidente Municipal;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2"/>
        </w:numPr>
        <w:ind w:right="1172" w:hanging="720"/>
      </w:pPr>
      <w:r>
        <w:t xml:space="preserve">Llevar un registro sistematizado de la demanda ciudadana y presentar oportunamente informes al Director;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2"/>
        </w:numPr>
        <w:ind w:right="1172" w:hanging="720"/>
      </w:pPr>
      <w:r>
        <w:t>Elaborar y proponer programas de beneficio social y de atención de la demanda c</w:t>
      </w:r>
      <w:r>
        <w:t xml:space="preserve">iudadana;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16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F22B58" w:rsidRDefault="00BE03D4">
      <w:pPr>
        <w:numPr>
          <w:ilvl w:val="1"/>
          <w:numId w:val="2"/>
        </w:numPr>
        <w:ind w:right="1172" w:hanging="720"/>
      </w:pPr>
      <w:r>
        <w:t xml:space="preserve">Coordinar sus funciones con unidades administrativas del Sistema Municipal para el Desarrollo Integral de la Familia y la Coordinación de Salud;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2"/>
        </w:numPr>
        <w:ind w:right="1172" w:hanging="720"/>
      </w:pPr>
      <w:r>
        <w:t xml:space="preserve">Analizar y emitir opinión respecto a la elaboración de programas de </w:t>
      </w:r>
    </w:p>
    <w:p w:rsidR="00F22B58" w:rsidRDefault="00BE03D4">
      <w:pPr>
        <w:ind w:left="2418" w:right="1172"/>
      </w:pPr>
      <w:proofErr w:type="gramStart"/>
      <w:r>
        <w:t>beneficio</w:t>
      </w:r>
      <w:proofErr w:type="gramEnd"/>
      <w:r>
        <w:t xml:space="preserve"> social; y  </w:t>
      </w:r>
    </w:p>
    <w:p w:rsidR="00F22B58" w:rsidRDefault="00BE03D4">
      <w:pPr>
        <w:spacing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1" w:line="259" w:lineRule="auto"/>
        <w:ind w:left="0" w:righ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F22B58" w:rsidRDefault="00BE03D4">
      <w:pPr>
        <w:numPr>
          <w:ilvl w:val="1"/>
          <w:numId w:val="2"/>
        </w:numPr>
        <w:ind w:right="1172" w:hanging="720"/>
      </w:pPr>
      <w:r>
        <w:t xml:space="preserve">Gestionar ante instancias municipales y estatales, cuando así corresponda, los diversos asuntos que le sean turnados.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ind w:left="1352" w:right="1172"/>
      </w:pPr>
      <w:r>
        <w:rPr>
          <w:b/>
        </w:rPr>
        <w:t xml:space="preserve">Artículo 209.- </w:t>
      </w:r>
      <w:r>
        <w:t xml:space="preserve">Para el adecuado ejercicio de sus atribuciones la Subdirección de Atención y Gestión contará con los siguientes Departamentos:  </w:t>
      </w:r>
    </w:p>
    <w:p w:rsidR="00F22B58" w:rsidRDefault="00BE03D4">
      <w:pPr>
        <w:spacing w:after="3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22B58" w:rsidRDefault="00BE03D4">
      <w:pPr>
        <w:pStyle w:val="Ttulo2"/>
        <w:ind w:left="374"/>
      </w:pPr>
      <w:r>
        <w:t xml:space="preserve">DIRECCION CIUDADANA </w:t>
      </w:r>
    </w:p>
    <w:p w:rsidR="00F22B58" w:rsidRDefault="00BE03D4">
      <w:pPr>
        <w:spacing w:after="285" w:line="259" w:lineRule="auto"/>
        <w:ind w:left="2076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3"/>
        </w:numPr>
        <w:ind w:right="1172" w:hanging="2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38100" cy="82296"/>
            <wp:effectExtent l="0" t="0" r="0" b="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257556</wp:posOffset>
                </wp:positionH>
                <wp:positionV relativeFrom="page">
                  <wp:posOffset>-86105</wp:posOffset>
                </wp:positionV>
                <wp:extent cx="42342" cy="169926"/>
                <wp:effectExtent l="0" t="0" r="0" b="0"/>
                <wp:wrapTopAndBottom/>
                <wp:docPr id="3033" name="Group 3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2" cy="169926"/>
                          <a:chOff x="0" y="0"/>
                          <a:chExt cx="42342" cy="169926"/>
                        </a:xfrm>
                      </wpg:grpSpPr>
                      <wps:wsp>
                        <wps:cNvPr id="332" name="Rectangle 332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B58" w:rsidRDefault="00BE03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33" o:spid="_x0000_s1026" style="position:absolute;left:0;text-align:left;margin-left:20.3pt;margin-top:-6.8pt;width:3.35pt;height:13.4pt;z-index:251659264;mso-position-horizontal-relative:page;mso-position-vertical-relative:page" coordsize="42342,16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">
                <v:rect id="Rectangle 332" o:spid="_x0000_s1027" style="position:absolute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F22B58" w:rsidRDefault="00BE03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Departamento de Atención.  </w:t>
      </w:r>
    </w:p>
    <w:p w:rsidR="00F22B58" w:rsidRDefault="00BE03D4">
      <w:pPr>
        <w:numPr>
          <w:ilvl w:val="0"/>
          <w:numId w:val="3"/>
        </w:numPr>
        <w:spacing w:after="77"/>
        <w:ind w:right="1172" w:hanging="281"/>
      </w:pPr>
      <w:r>
        <w:t xml:space="preserve">b) Departamento de Gestión.  </w:t>
      </w:r>
    </w:p>
    <w:p w:rsidR="00F22B58" w:rsidRDefault="00BE03D4">
      <w:pPr>
        <w:spacing w:after="0" w:line="259" w:lineRule="auto"/>
        <w:ind w:left="1623" w:right="0" w:firstLine="0"/>
        <w:jc w:val="left"/>
      </w:pPr>
      <w:r>
        <w:t xml:space="preserve">  </w:t>
      </w:r>
    </w:p>
    <w:p w:rsidR="00F22B58" w:rsidRDefault="00BE03D4">
      <w:pPr>
        <w:spacing w:after="156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0" w:line="259" w:lineRule="auto"/>
        <w:ind w:left="2561" w:right="0"/>
        <w:jc w:val="left"/>
      </w:pPr>
      <w:r>
        <w:rPr>
          <w:b/>
        </w:rPr>
        <w:t>Sección II. Subdirección de Organización y Vinculación.</w:t>
      </w:r>
      <w:r>
        <w:t xml:space="preserve">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22B58" w:rsidRDefault="00BE03D4">
      <w:pPr>
        <w:ind w:left="1352" w:right="1172"/>
      </w:pPr>
      <w:r>
        <w:rPr>
          <w:b/>
        </w:rPr>
        <w:t xml:space="preserve">Artículo 210.- </w:t>
      </w:r>
      <w:r>
        <w:t xml:space="preserve">El Subdirector de Organización y Vinculación, tendrá las siguientes facultades y obligaciones: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3"/>
        </w:numPr>
        <w:ind w:right="1172" w:hanging="787"/>
      </w:pPr>
      <w:r>
        <w:t>Proponer y operar el Sistema Municipal de Organización y Participación Ciudadana</w:t>
      </w:r>
      <w:r>
        <w:t xml:space="preserve">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3"/>
        </w:numPr>
        <w:ind w:right="1172" w:hanging="787"/>
      </w:pPr>
      <w:r>
        <w:t xml:space="preserve">Organizar a la ciudadanía de acuerdo a las figuras reglamentadas en el ámbito municipal, para su participación en las labores gubernamentales y de desarrollo;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2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3"/>
        </w:numPr>
        <w:ind w:right="1172" w:hanging="787"/>
      </w:pPr>
      <w:r>
        <w:t xml:space="preserve">Elaborar y proponer los mecanismos de concertación con las  </w:t>
      </w:r>
      <w:r>
        <w:t xml:space="preserve">organizaciones de participación ciudadana;  </w:t>
      </w:r>
    </w:p>
    <w:p w:rsidR="00F22B58" w:rsidRDefault="00BE03D4">
      <w:pPr>
        <w:spacing w:after="1" w:line="259" w:lineRule="auto"/>
        <w:ind w:left="0" w:righ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F22B58" w:rsidRDefault="00BE03D4">
      <w:pPr>
        <w:numPr>
          <w:ilvl w:val="1"/>
          <w:numId w:val="3"/>
        </w:numPr>
        <w:ind w:right="1172" w:hanging="787"/>
      </w:pPr>
      <w:r>
        <w:t xml:space="preserve">Fomentar la participación organizada de la población;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0" w:line="259" w:lineRule="auto"/>
        <w:ind w:left="1493" w:right="0" w:firstLine="0"/>
        <w:jc w:val="left"/>
      </w:pPr>
      <w:r>
        <w:t xml:space="preserve"> </w:t>
      </w:r>
    </w:p>
    <w:p w:rsidR="00F22B58" w:rsidRDefault="00BE03D4">
      <w:pPr>
        <w:numPr>
          <w:ilvl w:val="1"/>
          <w:numId w:val="3"/>
        </w:numPr>
        <w:ind w:right="1172" w:hanging="787"/>
      </w:pPr>
      <w:r>
        <w:t>Mantener actualizada la estructura social del Municipio, de manera permanente y participar en la renovación de liderazgos y representaciones com</w:t>
      </w:r>
      <w:r>
        <w:t xml:space="preserve">unitarias en las formas ciudadanas de participación;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3"/>
        </w:numPr>
        <w:ind w:right="1172" w:hanging="787"/>
      </w:pPr>
      <w:r>
        <w:t xml:space="preserve">Evaluar permanentemente la funcionalidad y establecer relaciones con aquellas entidades que tengan que ver con actuación social; y  </w:t>
      </w:r>
    </w:p>
    <w:p w:rsidR="00F22B58" w:rsidRDefault="00BE03D4">
      <w:pPr>
        <w:spacing w:after="2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1"/>
          <w:numId w:val="3"/>
        </w:numPr>
        <w:ind w:right="1172" w:hanging="787"/>
      </w:pPr>
      <w:r>
        <w:t>Coadyuvar con el Director en la organización del proceso democ</w:t>
      </w:r>
      <w:r>
        <w:t xml:space="preserve">rático para la conformación de las juntas, consejos, comités, y demás organizaciones de participación ciudadana previstas.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ind w:left="1352" w:right="1172"/>
      </w:pPr>
      <w:r>
        <w:rPr>
          <w:b/>
        </w:rPr>
        <w:t xml:space="preserve">Artículo 211.- </w:t>
      </w:r>
      <w:r>
        <w:t xml:space="preserve">Para el adecuado ejercicio de sus funciones la Subdirección de Organización y Participación Ciudadana, contará con los siguientes Departamentos:  </w:t>
      </w:r>
    </w:p>
    <w:p w:rsidR="00F22B58" w:rsidRDefault="00BE03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2B58" w:rsidRDefault="00BE03D4">
      <w:pPr>
        <w:numPr>
          <w:ilvl w:val="0"/>
          <w:numId w:val="4"/>
        </w:numPr>
        <w:ind w:right="1172" w:hanging="281"/>
      </w:pPr>
      <w:r>
        <w:t xml:space="preserve">Departamento de Organización.  </w:t>
      </w:r>
    </w:p>
    <w:p w:rsidR="00F22B58" w:rsidRDefault="00BE03D4">
      <w:pPr>
        <w:numPr>
          <w:ilvl w:val="0"/>
          <w:numId w:val="4"/>
        </w:numPr>
        <w:ind w:right="1172" w:hanging="281"/>
      </w:pPr>
      <w:r>
        <w:t xml:space="preserve">Departamento de Enlace y Vinculación.  </w:t>
      </w:r>
    </w:p>
    <w:sectPr w:rsidR="00F22B58">
      <w:headerReference w:type="even" r:id="rId8"/>
      <w:headerReference w:type="default" r:id="rId9"/>
      <w:headerReference w:type="first" r:id="rId10"/>
      <w:pgSz w:w="12240" w:h="15840"/>
      <w:pgMar w:top="0" w:right="502" w:bottom="2072" w:left="360" w:header="2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03D4">
      <w:pPr>
        <w:spacing w:after="0" w:line="240" w:lineRule="auto"/>
      </w:pPr>
      <w:r>
        <w:separator/>
      </w:r>
    </w:p>
  </w:endnote>
  <w:endnote w:type="continuationSeparator" w:id="0">
    <w:p w:rsidR="00000000" w:rsidRDefault="00B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03D4">
      <w:pPr>
        <w:spacing w:after="0" w:line="240" w:lineRule="auto"/>
      </w:pPr>
      <w:r>
        <w:separator/>
      </w:r>
    </w:p>
  </w:footnote>
  <w:footnote w:type="continuationSeparator" w:id="0">
    <w:p w:rsidR="00000000" w:rsidRDefault="00BE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58" w:rsidRDefault="00BE03D4">
    <w:pPr>
      <w:spacing w:after="0" w:line="259" w:lineRule="auto"/>
      <w:ind w:left="2050" w:right="82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4457700</wp:posOffset>
          </wp:positionH>
          <wp:positionV relativeFrom="page">
            <wp:posOffset>152400</wp:posOffset>
          </wp:positionV>
          <wp:extent cx="2473452" cy="894588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452" cy="894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 </w:t>
    </w:r>
    <w:r>
      <w:rPr>
        <w:sz w:val="28"/>
      </w:rPr>
      <w:tab/>
    </w:r>
    <w:r>
      <w:t xml:space="preserve"> </w:t>
    </w:r>
  </w:p>
  <w:p w:rsidR="00F22B58" w:rsidRDefault="00BE03D4">
    <w:pPr>
      <w:spacing w:after="304" w:line="259" w:lineRule="auto"/>
      <w:ind w:left="379" w:right="823" w:firstLine="0"/>
      <w:jc w:val="left"/>
    </w:pPr>
    <w:r>
      <w:rPr>
        <w:b/>
        <w:i/>
        <w:sz w:val="18"/>
      </w:rPr>
      <w:t xml:space="preserve"> </w:t>
    </w:r>
  </w:p>
  <w:p w:rsidR="00F22B58" w:rsidRDefault="00BE03D4">
    <w:pPr>
      <w:spacing w:after="165" w:line="259" w:lineRule="auto"/>
      <w:ind w:left="379" w:right="823" w:firstLine="0"/>
      <w:jc w:val="left"/>
    </w:pPr>
    <w:r>
      <w:rPr>
        <w:b/>
        <w:i/>
        <w:sz w:val="28"/>
      </w:rPr>
      <w:t xml:space="preserve">DIRECCIÓN DE ATENCIÓN CIUDADANA </w:t>
    </w:r>
  </w:p>
  <w:p w:rsidR="00F22B58" w:rsidRDefault="00BE03D4">
    <w:pPr>
      <w:spacing w:after="0" w:line="259" w:lineRule="auto"/>
      <w:ind w:left="1493" w:right="823" w:firstLine="0"/>
      <w:jc w:val="left"/>
    </w:pPr>
    <w:r>
      <w:t xml:space="preserve"> </w:t>
    </w:r>
  </w:p>
  <w:p w:rsidR="00F22B58" w:rsidRDefault="00BE03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81" name="Group 3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FA2CBB" id="Group 328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PaydW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58" w:rsidRDefault="00BE03D4">
    <w:pPr>
      <w:spacing w:after="0" w:line="259" w:lineRule="auto"/>
      <w:ind w:left="2050" w:right="823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4457700</wp:posOffset>
          </wp:positionH>
          <wp:positionV relativeFrom="page">
            <wp:posOffset>152400</wp:posOffset>
          </wp:positionV>
          <wp:extent cx="2473452" cy="894588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452" cy="894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 </w:t>
    </w:r>
    <w:r>
      <w:rPr>
        <w:sz w:val="28"/>
      </w:rPr>
      <w:tab/>
    </w:r>
    <w:r>
      <w:t xml:space="preserve"> </w:t>
    </w:r>
  </w:p>
  <w:p w:rsidR="00F22B58" w:rsidRDefault="00BE03D4">
    <w:pPr>
      <w:spacing w:after="304" w:line="259" w:lineRule="auto"/>
      <w:ind w:left="379" w:right="823" w:firstLine="0"/>
      <w:jc w:val="left"/>
    </w:pPr>
    <w:r>
      <w:rPr>
        <w:b/>
        <w:i/>
        <w:sz w:val="18"/>
      </w:rPr>
      <w:t xml:space="preserve"> </w:t>
    </w:r>
  </w:p>
  <w:p w:rsidR="00F22B58" w:rsidRDefault="00BE03D4">
    <w:pPr>
      <w:spacing w:after="165" w:line="259" w:lineRule="auto"/>
      <w:ind w:left="379" w:right="823" w:firstLine="0"/>
      <w:jc w:val="left"/>
    </w:pPr>
    <w:r>
      <w:rPr>
        <w:b/>
        <w:i/>
        <w:sz w:val="28"/>
      </w:rPr>
      <w:t xml:space="preserve">DIRECCIÓN DE ATENCIÓN CIUDADANA </w:t>
    </w:r>
  </w:p>
  <w:p w:rsidR="00F22B58" w:rsidRDefault="00BE03D4">
    <w:pPr>
      <w:spacing w:after="0" w:line="259" w:lineRule="auto"/>
      <w:ind w:left="1493" w:right="823" w:firstLine="0"/>
      <w:jc w:val="left"/>
    </w:pPr>
    <w:r>
      <w:t xml:space="preserve"> </w:t>
    </w:r>
  </w:p>
  <w:p w:rsidR="00F22B58" w:rsidRDefault="00BE03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59" name="Group 3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829C18E" id="Group 3259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AEnPR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58" w:rsidRDefault="00BE03D4">
    <w:pPr>
      <w:spacing w:after="0" w:line="259" w:lineRule="auto"/>
      <w:ind w:left="2050" w:right="82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4457700</wp:posOffset>
          </wp:positionH>
          <wp:positionV relativeFrom="page">
            <wp:posOffset>152400</wp:posOffset>
          </wp:positionV>
          <wp:extent cx="2473452" cy="894588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452" cy="894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 </w:t>
    </w:r>
    <w:r>
      <w:rPr>
        <w:sz w:val="28"/>
      </w:rPr>
      <w:tab/>
    </w:r>
    <w:r>
      <w:t xml:space="preserve"> </w:t>
    </w:r>
  </w:p>
  <w:p w:rsidR="00F22B58" w:rsidRDefault="00BE03D4">
    <w:pPr>
      <w:spacing w:after="304" w:line="259" w:lineRule="auto"/>
      <w:ind w:left="379" w:right="823" w:firstLine="0"/>
      <w:jc w:val="left"/>
    </w:pPr>
    <w:r>
      <w:rPr>
        <w:b/>
        <w:i/>
        <w:sz w:val="18"/>
      </w:rPr>
      <w:t xml:space="preserve"> </w:t>
    </w:r>
  </w:p>
  <w:p w:rsidR="00F22B58" w:rsidRDefault="00BE03D4">
    <w:pPr>
      <w:spacing w:after="165" w:line="259" w:lineRule="auto"/>
      <w:ind w:left="379" w:right="823" w:firstLine="0"/>
      <w:jc w:val="left"/>
    </w:pPr>
    <w:r>
      <w:rPr>
        <w:b/>
        <w:i/>
        <w:sz w:val="28"/>
      </w:rPr>
      <w:t xml:space="preserve">DIRECCIÓN DE ATENCIÓN CIUDADANA </w:t>
    </w:r>
  </w:p>
  <w:p w:rsidR="00F22B58" w:rsidRDefault="00BE03D4">
    <w:pPr>
      <w:spacing w:after="0" w:line="259" w:lineRule="auto"/>
      <w:ind w:left="1493" w:right="823" w:firstLine="0"/>
      <w:jc w:val="left"/>
    </w:pPr>
    <w:r>
      <w:t xml:space="preserve"> </w:t>
    </w:r>
  </w:p>
  <w:p w:rsidR="00F22B58" w:rsidRDefault="00BE03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37" name="Group 3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4AD7492" id="Group 3237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1ITwEAAK4CAAAOAAAAZHJzL2Uyb0RvYy54bWycUstOwzAQvCPxD5bv1EkrAY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Kaiq+XqiR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eN81I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FA1"/>
    <w:multiLevelType w:val="hybridMultilevel"/>
    <w:tmpl w:val="C284E3B8"/>
    <w:lvl w:ilvl="0" w:tplc="BABC6A16">
      <w:start w:val="1"/>
      <w:numFmt w:val="lowerLetter"/>
      <w:lvlText w:val="%1)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63E10">
      <w:start w:val="1"/>
      <w:numFmt w:val="upperRoman"/>
      <w:lvlText w:val="%2.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29BE4">
      <w:start w:val="1"/>
      <w:numFmt w:val="lowerRoman"/>
      <w:lvlText w:val="%3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21458">
      <w:start w:val="1"/>
      <w:numFmt w:val="decimal"/>
      <w:lvlText w:val="%4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F9A6">
      <w:start w:val="1"/>
      <w:numFmt w:val="lowerLetter"/>
      <w:lvlText w:val="%5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AB610">
      <w:start w:val="1"/>
      <w:numFmt w:val="lowerRoman"/>
      <w:lvlText w:val="%6"/>
      <w:lvlJc w:val="left"/>
      <w:pPr>
        <w:ind w:left="4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7D92">
      <w:start w:val="1"/>
      <w:numFmt w:val="decimal"/>
      <w:lvlText w:val="%7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4658A">
      <w:start w:val="1"/>
      <w:numFmt w:val="lowerLetter"/>
      <w:lvlText w:val="%8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C15A">
      <w:start w:val="1"/>
      <w:numFmt w:val="lowerRoman"/>
      <w:lvlText w:val="%9"/>
      <w:lvlJc w:val="left"/>
      <w:pPr>
        <w:ind w:left="7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65B35"/>
    <w:multiLevelType w:val="hybridMultilevel"/>
    <w:tmpl w:val="7460250C"/>
    <w:lvl w:ilvl="0" w:tplc="8AAEDCFE">
      <w:start w:val="1"/>
      <w:numFmt w:val="lowerLetter"/>
      <w:lvlText w:val="%1)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833E8">
      <w:start w:val="1"/>
      <w:numFmt w:val="upperRoman"/>
      <w:lvlText w:val="%2.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61314">
      <w:start w:val="1"/>
      <w:numFmt w:val="lowerRoman"/>
      <w:lvlText w:val="%3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C56C4">
      <w:start w:val="1"/>
      <w:numFmt w:val="decimal"/>
      <w:lvlText w:val="%4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E7D78">
      <w:start w:val="1"/>
      <w:numFmt w:val="lowerLetter"/>
      <w:lvlText w:val="%5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9E32">
      <w:start w:val="1"/>
      <w:numFmt w:val="lowerRoman"/>
      <w:lvlText w:val="%6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E731E">
      <w:start w:val="1"/>
      <w:numFmt w:val="decimal"/>
      <w:lvlText w:val="%7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6E264">
      <w:start w:val="1"/>
      <w:numFmt w:val="lowerLetter"/>
      <w:lvlText w:val="%8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0D220">
      <w:start w:val="1"/>
      <w:numFmt w:val="lowerRoman"/>
      <w:lvlText w:val="%9"/>
      <w:lvlJc w:val="left"/>
      <w:pPr>
        <w:ind w:left="7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773933"/>
    <w:multiLevelType w:val="hybridMultilevel"/>
    <w:tmpl w:val="547C879A"/>
    <w:lvl w:ilvl="0" w:tplc="8E225A52">
      <w:start w:val="1"/>
      <w:numFmt w:val="upperRoman"/>
      <w:lvlText w:val="%1.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ABD3A">
      <w:start w:val="1"/>
      <w:numFmt w:val="lowerLetter"/>
      <w:lvlText w:val="%2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B27E">
      <w:start w:val="1"/>
      <w:numFmt w:val="lowerRoman"/>
      <w:lvlText w:val="%3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605A6">
      <w:start w:val="1"/>
      <w:numFmt w:val="decimal"/>
      <w:lvlText w:val="%4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668C2">
      <w:start w:val="1"/>
      <w:numFmt w:val="lowerLetter"/>
      <w:lvlText w:val="%5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AD2F2">
      <w:start w:val="1"/>
      <w:numFmt w:val="lowerRoman"/>
      <w:lvlText w:val="%6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259AC">
      <w:start w:val="1"/>
      <w:numFmt w:val="decimal"/>
      <w:lvlText w:val="%7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61934">
      <w:start w:val="1"/>
      <w:numFmt w:val="lowerLetter"/>
      <w:lvlText w:val="%8"/>
      <w:lvlJc w:val="left"/>
      <w:pPr>
        <w:ind w:left="7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51D0">
      <w:start w:val="1"/>
      <w:numFmt w:val="lowerRoman"/>
      <w:lvlText w:val="%9"/>
      <w:lvlJc w:val="left"/>
      <w:pPr>
        <w:ind w:left="7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1A1075"/>
    <w:multiLevelType w:val="hybridMultilevel"/>
    <w:tmpl w:val="114C023C"/>
    <w:lvl w:ilvl="0" w:tplc="1FB24CD6">
      <w:start w:val="1"/>
      <w:numFmt w:val="lowerLetter"/>
      <w:lvlText w:val="%1)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866F6">
      <w:start w:val="1"/>
      <w:numFmt w:val="lowerLetter"/>
      <w:lvlText w:val="%2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A73DC">
      <w:start w:val="1"/>
      <w:numFmt w:val="lowerRoman"/>
      <w:lvlText w:val="%3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1130">
      <w:start w:val="1"/>
      <w:numFmt w:val="decimal"/>
      <w:lvlText w:val="%4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E1B6">
      <w:start w:val="1"/>
      <w:numFmt w:val="lowerLetter"/>
      <w:lvlText w:val="%5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2E094">
      <w:start w:val="1"/>
      <w:numFmt w:val="lowerRoman"/>
      <w:lvlText w:val="%6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1C4E">
      <w:start w:val="1"/>
      <w:numFmt w:val="decimal"/>
      <w:lvlText w:val="%7"/>
      <w:lvlJc w:val="left"/>
      <w:pPr>
        <w:ind w:left="6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96D8">
      <w:start w:val="1"/>
      <w:numFmt w:val="lowerLetter"/>
      <w:lvlText w:val="%8"/>
      <w:lvlJc w:val="left"/>
      <w:pPr>
        <w:ind w:left="6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2026C">
      <w:start w:val="1"/>
      <w:numFmt w:val="lowerRoman"/>
      <w:lvlText w:val="%9"/>
      <w:lvlJc w:val="left"/>
      <w:pPr>
        <w:ind w:left="7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58"/>
    <w:rsid w:val="00BE03D4"/>
    <w:rsid w:val="00F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839DE-63AB-4016-B4C9-D8A44CC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4" w:lineRule="auto"/>
      <w:ind w:left="1503" w:right="3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32"/>
      <w:jc w:val="center"/>
      <w:outlineLvl w:val="0"/>
    </w:pPr>
    <w:rPr>
      <w:rFonts w:ascii="Arial" w:eastAsia="Arial" w:hAnsi="Arial" w:cs="Arial"/>
      <w:b/>
      <w:color w:val="006666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389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i/>
      <w:color w:val="000000"/>
      <w:sz w:val="2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666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CENTRO</cp:lastModifiedBy>
  <cp:revision>2</cp:revision>
  <dcterms:created xsi:type="dcterms:W3CDTF">2017-09-29T16:45:00Z</dcterms:created>
  <dcterms:modified xsi:type="dcterms:W3CDTF">2017-09-29T16:45:00Z</dcterms:modified>
</cp:coreProperties>
</file>